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9C" w:rsidRDefault="0032639C" w:rsidP="0032639C">
      <w:pPr>
        <w:spacing w:after="0"/>
        <w:rPr>
          <w:b/>
          <w:sz w:val="24"/>
          <w:szCs w:val="24"/>
        </w:rPr>
      </w:pPr>
    </w:p>
    <w:p w:rsidR="0032277B" w:rsidRDefault="0032277B" w:rsidP="0032277B">
      <w:pPr>
        <w:spacing w:after="0"/>
        <w:jc w:val="center"/>
        <w:rPr>
          <w:b/>
          <w:sz w:val="26"/>
          <w:szCs w:val="26"/>
        </w:rPr>
      </w:pPr>
    </w:p>
    <w:p w:rsidR="0032277B" w:rsidRDefault="0032277B" w:rsidP="0032277B">
      <w:pPr>
        <w:spacing w:after="0"/>
        <w:jc w:val="center"/>
        <w:rPr>
          <w:b/>
          <w:sz w:val="26"/>
          <w:szCs w:val="26"/>
        </w:rPr>
      </w:pPr>
    </w:p>
    <w:p w:rsidR="0032277B" w:rsidRDefault="0032277B" w:rsidP="0032277B">
      <w:pPr>
        <w:spacing w:after="0"/>
        <w:jc w:val="center"/>
        <w:rPr>
          <w:b/>
          <w:sz w:val="26"/>
          <w:szCs w:val="26"/>
        </w:rPr>
      </w:pPr>
    </w:p>
    <w:p w:rsidR="0032277B" w:rsidRDefault="0032277B" w:rsidP="0032277B">
      <w:pPr>
        <w:spacing w:after="0"/>
        <w:jc w:val="center"/>
        <w:rPr>
          <w:b/>
          <w:sz w:val="26"/>
          <w:szCs w:val="26"/>
        </w:rPr>
      </w:pPr>
    </w:p>
    <w:p w:rsidR="0032277B" w:rsidRDefault="0032277B" w:rsidP="0032277B">
      <w:pPr>
        <w:spacing w:after="0"/>
        <w:jc w:val="center"/>
        <w:rPr>
          <w:b/>
          <w:sz w:val="26"/>
          <w:szCs w:val="26"/>
        </w:rPr>
      </w:pPr>
    </w:p>
    <w:p w:rsidR="0032277B" w:rsidRDefault="0032277B" w:rsidP="0032277B">
      <w:pPr>
        <w:spacing w:after="0"/>
        <w:jc w:val="center"/>
        <w:rPr>
          <w:b/>
          <w:sz w:val="26"/>
          <w:szCs w:val="26"/>
        </w:rPr>
      </w:pPr>
    </w:p>
    <w:p w:rsidR="00957475" w:rsidRPr="00033DB1" w:rsidRDefault="00957475" w:rsidP="0032277B">
      <w:pPr>
        <w:spacing w:after="0"/>
        <w:jc w:val="center"/>
        <w:rPr>
          <w:b/>
          <w:sz w:val="40"/>
          <w:szCs w:val="40"/>
        </w:rPr>
      </w:pPr>
      <w:r w:rsidRPr="00033DB1">
        <w:rPr>
          <w:b/>
          <w:sz w:val="40"/>
          <w:szCs w:val="40"/>
        </w:rPr>
        <w:t xml:space="preserve">Tax Strategies </w:t>
      </w:r>
      <w:r w:rsidRPr="00E94E49">
        <w:rPr>
          <w:b/>
          <w:color w:val="7F7F7F" w:themeColor="text1" w:themeTint="80"/>
          <w:sz w:val="40"/>
          <w:szCs w:val="40"/>
        </w:rPr>
        <w:t>&gt;</w:t>
      </w:r>
      <w:r w:rsidRPr="00033DB1">
        <w:rPr>
          <w:b/>
          <w:sz w:val="40"/>
          <w:szCs w:val="40"/>
        </w:rPr>
        <w:t xml:space="preserve"> Owner Managed Businesses</w:t>
      </w:r>
    </w:p>
    <w:p w:rsidR="00957475" w:rsidRPr="00033DB1" w:rsidRDefault="00957475" w:rsidP="0032277B">
      <w:pPr>
        <w:spacing w:after="0"/>
        <w:jc w:val="center"/>
        <w:rPr>
          <w:sz w:val="40"/>
          <w:szCs w:val="40"/>
        </w:rPr>
      </w:pPr>
      <w:r w:rsidRPr="00033DB1">
        <w:rPr>
          <w:b/>
          <w:sz w:val="40"/>
          <w:szCs w:val="40"/>
        </w:rPr>
        <w:t>Tax Year:</w:t>
      </w:r>
      <w:r w:rsidRPr="00033DB1">
        <w:rPr>
          <w:sz w:val="40"/>
          <w:szCs w:val="40"/>
        </w:rPr>
        <w:t xml:space="preserve"> </w:t>
      </w:r>
      <w:r w:rsidRPr="00033DB1">
        <w:rPr>
          <w:color w:val="595959" w:themeColor="text1" w:themeTint="A6"/>
          <w:sz w:val="32"/>
          <w:szCs w:val="32"/>
        </w:rPr>
        <w:t>2013/14</w:t>
      </w:r>
    </w:p>
    <w:p w:rsidR="00957475" w:rsidRDefault="00957475"/>
    <w:p w:rsidR="00957475" w:rsidRDefault="00957475"/>
    <w:p w:rsidR="0032277B" w:rsidRDefault="0032277B"/>
    <w:p w:rsidR="0032277B" w:rsidRDefault="0032277B"/>
    <w:p w:rsidR="0032277B" w:rsidRDefault="0032277B"/>
    <w:p w:rsidR="00AB61DD" w:rsidRDefault="00AB61DD"/>
    <w:p w:rsidR="00AB61DD" w:rsidRDefault="00AB61DD"/>
    <w:p w:rsidR="0032277B" w:rsidRDefault="0032277B"/>
    <w:p w:rsidR="00736935" w:rsidRDefault="00736935"/>
    <w:p w:rsidR="0032277B" w:rsidRDefault="00736935">
      <w:r>
        <w:t xml:space="preserve">Select the </w:t>
      </w:r>
      <w:r w:rsidR="005A2C5D">
        <w:t xml:space="preserve">model </w:t>
      </w:r>
      <w:r>
        <w:t>strategy most appropriate to your specific circumstances:</w:t>
      </w:r>
    </w:p>
    <w:tbl>
      <w:tblPr>
        <w:tblStyle w:val="TableGrid"/>
        <w:tblW w:w="9272" w:type="dxa"/>
        <w:tblLayout w:type="fixed"/>
        <w:tblLook w:val="04A0" w:firstRow="1" w:lastRow="0" w:firstColumn="1" w:lastColumn="0" w:noHBand="0" w:noVBand="1"/>
      </w:tblPr>
      <w:tblGrid>
        <w:gridCol w:w="1526"/>
        <w:gridCol w:w="1276"/>
        <w:gridCol w:w="283"/>
        <w:gridCol w:w="3119"/>
        <w:gridCol w:w="3038"/>
        <w:gridCol w:w="30"/>
      </w:tblGrid>
      <w:tr w:rsidR="001627B4" w:rsidRPr="00BD7E0D" w:rsidTr="00EF1D15">
        <w:trPr>
          <w:gridAfter w:val="1"/>
          <w:wAfter w:w="30" w:type="dxa"/>
          <w:trHeight w:val="303"/>
        </w:trPr>
        <w:tc>
          <w:tcPr>
            <w:tcW w:w="1526" w:type="dxa"/>
          </w:tcPr>
          <w:p w:rsidR="001627B4" w:rsidRPr="00BD7E0D" w:rsidRDefault="001627B4">
            <w:pPr>
              <w:rPr>
                <w:b/>
              </w:rPr>
            </w:pPr>
            <w:r w:rsidRPr="00BD7E0D">
              <w:rPr>
                <w:b/>
              </w:rPr>
              <w:t>Strategy</w:t>
            </w:r>
          </w:p>
        </w:tc>
        <w:tc>
          <w:tcPr>
            <w:tcW w:w="1559" w:type="dxa"/>
            <w:gridSpan w:val="2"/>
          </w:tcPr>
          <w:p w:rsidR="001627B4" w:rsidRPr="00BD7E0D" w:rsidRDefault="001627B4" w:rsidP="00502B91">
            <w:pPr>
              <w:jc w:val="center"/>
              <w:rPr>
                <w:b/>
              </w:rPr>
            </w:pPr>
            <w:r>
              <w:rPr>
                <w:b/>
              </w:rPr>
              <w:t>Business Profits</w:t>
            </w:r>
          </w:p>
        </w:tc>
        <w:tc>
          <w:tcPr>
            <w:tcW w:w="3119" w:type="dxa"/>
          </w:tcPr>
          <w:p w:rsidR="001627B4" w:rsidRDefault="001627B4" w:rsidP="008B4EDD">
            <w:pPr>
              <w:jc w:val="center"/>
              <w:rPr>
                <w:b/>
              </w:rPr>
            </w:pPr>
            <w:r>
              <w:rPr>
                <w:b/>
              </w:rPr>
              <w:t xml:space="preserve">Personal Income </w:t>
            </w:r>
            <w:r w:rsidR="00F91B3F">
              <w:rPr>
                <w:b/>
              </w:rPr>
              <w:t>R</w:t>
            </w:r>
            <w:r>
              <w:rPr>
                <w:b/>
              </w:rPr>
              <w:t>equirements</w:t>
            </w:r>
          </w:p>
        </w:tc>
        <w:tc>
          <w:tcPr>
            <w:tcW w:w="3038" w:type="dxa"/>
          </w:tcPr>
          <w:p w:rsidR="001627B4" w:rsidRPr="00BD7E0D" w:rsidRDefault="001627B4" w:rsidP="005A2C5D">
            <w:pPr>
              <w:jc w:val="center"/>
              <w:rPr>
                <w:b/>
              </w:rPr>
            </w:pPr>
            <w:r>
              <w:rPr>
                <w:b/>
              </w:rPr>
              <w:t>Spouse</w:t>
            </w:r>
            <w:r w:rsidR="005A2C5D">
              <w:rPr>
                <w:b/>
              </w:rPr>
              <w:t>/Partner</w:t>
            </w:r>
            <w:r>
              <w:rPr>
                <w:b/>
              </w:rPr>
              <w:t xml:space="preserve"> Involved in Business?</w:t>
            </w:r>
          </w:p>
        </w:tc>
      </w:tr>
      <w:tr w:rsidR="001627B4" w:rsidTr="00EF1D15">
        <w:trPr>
          <w:gridAfter w:val="1"/>
          <w:wAfter w:w="30" w:type="dxa"/>
          <w:trHeight w:val="270"/>
        </w:trPr>
        <w:tc>
          <w:tcPr>
            <w:tcW w:w="1526" w:type="dxa"/>
          </w:tcPr>
          <w:p w:rsidR="001627B4" w:rsidRDefault="00EC71CD">
            <w:hyperlink r:id="rId9" w:history="1">
              <w:r w:rsidR="001627B4" w:rsidRPr="0020591D">
                <w:rPr>
                  <w:rStyle w:val="Hyperlink"/>
                </w:rPr>
                <w:t>OMB Alpha</w:t>
              </w:r>
            </w:hyperlink>
          </w:p>
        </w:tc>
        <w:tc>
          <w:tcPr>
            <w:tcW w:w="1559" w:type="dxa"/>
            <w:gridSpan w:val="2"/>
          </w:tcPr>
          <w:p w:rsidR="001627B4" w:rsidRDefault="001627B4" w:rsidP="00410055">
            <w:pPr>
              <w:jc w:val="center"/>
            </w:pPr>
            <w:r>
              <w:t>&lt; £15k</w:t>
            </w:r>
          </w:p>
        </w:tc>
        <w:tc>
          <w:tcPr>
            <w:tcW w:w="3119" w:type="dxa"/>
          </w:tcPr>
          <w:p w:rsidR="001627B4" w:rsidRDefault="00FF14B0" w:rsidP="00FF14B0">
            <w:pPr>
              <w:jc w:val="center"/>
            </w:pPr>
            <w:r>
              <w:t>No need to restrict</w:t>
            </w:r>
            <w:r w:rsidR="006107DD">
              <w:t xml:space="preserve"> </w:t>
            </w:r>
          </w:p>
        </w:tc>
        <w:tc>
          <w:tcPr>
            <w:tcW w:w="3038" w:type="dxa"/>
          </w:tcPr>
          <w:p w:rsidR="001627B4" w:rsidRDefault="001627B4" w:rsidP="00652892">
            <w:pPr>
              <w:jc w:val="center"/>
            </w:pPr>
            <w:r>
              <w:t>x</w:t>
            </w:r>
          </w:p>
        </w:tc>
      </w:tr>
      <w:tr w:rsidR="00FF14B0" w:rsidTr="00EF1D15">
        <w:trPr>
          <w:gridAfter w:val="1"/>
          <w:wAfter w:w="30" w:type="dxa"/>
          <w:trHeight w:val="261"/>
        </w:trPr>
        <w:tc>
          <w:tcPr>
            <w:tcW w:w="1526" w:type="dxa"/>
          </w:tcPr>
          <w:p w:rsidR="00FF14B0" w:rsidRDefault="00EC71CD">
            <w:hyperlink r:id="rId10" w:history="1">
              <w:r w:rsidR="00FF14B0" w:rsidRPr="0020591D">
                <w:rPr>
                  <w:rStyle w:val="Hyperlink"/>
                </w:rPr>
                <w:t>OMB Beta</w:t>
              </w:r>
            </w:hyperlink>
            <w:bookmarkStart w:id="0" w:name="_GoBack"/>
            <w:bookmarkEnd w:id="0"/>
          </w:p>
        </w:tc>
        <w:tc>
          <w:tcPr>
            <w:tcW w:w="1559" w:type="dxa"/>
            <w:gridSpan w:val="2"/>
          </w:tcPr>
          <w:p w:rsidR="00FF14B0" w:rsidRDefault="00FF14B0" w:rsidP="0039785C">
            <w:pPr>
              <w:jc w:val="center"/>
            </w:pPr>
            <w:r>
              <w:t>&lt; £30k</w:t>
            </w:r>
          </w:p>
        </w:tc>
        <w:tc>
          <w:tcPr>
            <w:tcW w:w="3119" w:type="dxa"/>
          </w:tcPr>
          <w:p w:rsidR="00FF14B0" w:rsidRDefault="00FF14B0" w:rsidP="00FF14B0">
            <w:pPr>
              <w:jc w:val="center"/>
            </w:pPr>
            <w:r w:rsidRPr="004B561E">
              <w:t>No need to restrict</w:t>
            </w:r>
          </w:p>
        </w:tc>
        <w:tc>
          <w:tcPr>
            <w:tcW w:w="3038" w:type="dxa"/>
          </w:tcPr>
          <w:p w:rsidR="00FF14B0" w:rsidRDefault="00FF14B0" w:rsidP="00652892">
            <w:pPr>
              <w:jc w:val="center"/>
            </w:pPr>
            <w:r>
              <w:rPr>
                <w:rFonts w:ascii="MS Mincho" w:eastAsia="MS Mincho" w:hAnsi="MS Mincho" w:cs="Arial"/>
                <w:color w:val="273D49"/>
                <w:sz w:val="20"/>
                <w:szCs w:val="20"/>
              </w:rPr>
              <w:t>✓</w:t>
            </w:r>
          </w:p>
        </w:tc>
      </w:tr>
      <w:tr w:rsidR="00FF14B0" w:rsidTr="00EF1D15">
        <w:trPr>
          <w:gridAfter w:val="1"/>
          <w:wAfter w:w="30" w:type="dxa"/>
          <w:trHeight w:val="270"/>
        </w:trPr>
        <w:tc>
          <w:tcPr>
            <w:tcW w:w="1526" w:type="dxa"/>
          </w:tcPr>
          <w:p w:rsidR="00FF14B0" w:rsidRDefault="00EC71CD">
            <w:hyperlink r:id="rId11" w:history="1">
              <w:r w:rsidR="00FF14B0" w:rsidRPr="0020591D">
                <w:rPr>
                  <w:rStyle w:val="Hyperlink"/>
                </w:rPr>
                <w:t>OMB Gamma</w:t>
              </w:r>
            </w:hyperlink>
          </w:p>
        </w:tc>
        <w:tc>
          <w:tcPr>
            <w:tcW w:w="1559" w:type="dxa"/>
            <w:gridSpan w:val="2"/>
          </w:tcPr>
          <w:p w:rsidR="00FF14B0" w:rsidRDefault="00FF14B0" w:rsidP="000D3677">
            <w:pPr>
              <w:jc w:val="center"/>
            </w:pPr>
            <w:r>
              <w:t>£15k - £</w:t>
            </w:r>
            <w:r w:rsidR="000D3677">
              <w:t>45</w:t>
            </w:r>
            <w:r>
              <w:t>k</w:t>
            </w:r>
          </w:p>
        </w:tc>
        <w:tc>
          <w:tcPr>
            <w:tcW w:w="3119" w:type="dxa"/>
          </w:tcPr>
          <w:p w:rsidR="00FF14B0" w:rsidRDefault="00FF14B0" w:rsidP="00FF14B0">
            <w:pPr>
              <w:jc w:val="center"/>
            </w:pPr>
            <w:r w:rsidRPr="004B561E">
              <w:t>No need to restrict</w:t>
            </w:r>
          </w:p>
        </w:tc>
        <w:tc>
          <w:tcPr>
            <w:tcW w:w="3038" w:type="dxa"/>
          </w:tcPr>
          <w:p w:rsidR="00FF14B0" w:rsidRDefault="00FF14B0" w:rsidP="00652892">
            <w:pPr>
              <w:jc w:val="center"/>
            </w:pPr>
            <w:r>
              <w:t>x</w:t>
            </w:r>
          </w:p>
        </w:tc>
      </w:tr>
      <w:tr w:rsidR="00FF14B0" w:rsidTr="00EF1D15">
        <w:trPr>
          <w:gridAfter w:val="1"/>
          <w:wAfter w:w="30" w:type="dxa"/>
          <w:trHeight w:val="270"/>
        </w:trPr>
        <w:tc>
          <w:tcPr>
            <w:tcW w:w="1526" w:type="dxa"/>
          </w:tcPr>
          <w:p w:rsidR="00FF14B0" w:rsidRDefault="00EC71CD">
            <w:hyperlink r:id="rId12" w:history="1">
              <w:r w:rsidR="00FF14B0" w:rsidRPr="0020591D">
                <w:rPr>
                  <w:rStyle w:val="Hyperlink"/>
                </w:rPr>
                <w:t>OMB Delta</w:t>
              </w:r>
            </w:hyperlink>
          </w:p>
        </w:tc>
        <w:tc>
          <w:tcPr>
            <w:tcW w:w="1559" w:type="dxa"/>
            <w:gridSpan w:val="2"/>
          </w:tcPr>
          <w:p w:rsidR="00FF14B0" w:rsidRDefault="00FF14B0" w:rsidP="00687AE7">
            <w:pPr>
              <w:jc w:val="center"/>
            </w:pPr>
            <w:r>
              <w:t>£</w:t>
            </w:r>
            <w:r w:rsidR="000D3677">
              <w:t>30k</w:t>
            </w:r>
            <w:r>
              <w:t xml:space="preserve"> - £</w:t>
            </w:r>
            <w:r w:rsidR="00687AE7">
              <w:t>90</w:t>
            </w:r>
            <w:r>
              <w:t>k</w:t>
            </w:r>
          </w:p>
        </w:tc>
        <w:tc>
          <w:tcPr>
            <w:tcW w:w="3119" w:type="dxa"/>
          </w:tcPr>
          <w:p w:rsidR="00FF14B0" w:rsidRDefault="00FF14B0" w:rsidP="00FF14B0">
            <w:pPr>
              <w:jc w:val="center"/>
            </w:pPr>
            <w:r w:rsidRPr="004B561E">
              <w:t>No need to restrict</w:t>
            </w:r>
          </w:p>
        </w:tc>
        <w:tc>
          <w:tcPr>
            <w:tcW w:w="3038" w:type="dxa"/>
          </w:tcPr>
          <w:p w:rsidR="00FF14B0" w:rsidRDefault="00FF14B0" w:rsidP="00652892">
            <w:pPr>
              <w:jc w:val="center"/>
            </w:pPr>
            <w:r>
              <w:rPr>
                <w:rFonts w:ascii="MS Mincho" w:eastAsia="MS Mincho" w:hAnsi="MS Mincho" w:cs="Arial"/>
                <w:color w:val="273D49"/>
                <w:sz w:val="20"/>
                <w:szCs w:val="20"/>
              </w:rPr>
              <w:t>✓</w:t>
            </w:r>
          </w:p>
        </w:tc>
      </w:tr>
      <w:tr w:rsidR="00FF14B0" w:rsidTr="00EF1D15">
        <w:trPr>
          <w:gridAfter w:val="1"/>
          <w:wAfter w:w="30" w:type="dxa"/>
          <w:trHeight w:val="270"/>
        </w:trPr>
        <w:tc>
          <w:tcPr>
            <w:tcW w:w="1526" w:type="dxa"/>
          </w:tcPr>
          <w:p w:rsidR="00FF14B0" w:rsidRDefault="00EC71CD">
            <w:hyperlink r:id="rId13" w:history="1">
              <w:r w:rsidR="00FF14B0" w:rsidRPr="0020591D">
                <w:rPr>
                  <w:rStyle w:val="Hyperlink"/>
                </w:rPr>
                <w:t>OMB Epsilon</w:t>
              </w:r>
            </w:hyperlink>
          </w:p>
        </w:tc>
        <w:tc>
          <w:tcPr>
            <w:tcW w:w="1559" w:type="dxa"/>
            <w:gridSpan w:val="2"/>
          </w:tcPr>
          <w:p w:rsidR="00FF14B0" w:rsidRDefault="00E603BF" w:rsidP="00E603BF">
            <w:pPr>
              <w:jc w:val="center"/>
            </w:pPr>
            <w:r>
              <w:t>&gt; £45k</w:t>
            </w:r>
          </w:p>
        </w:tc>
        <w:tc>
          <w:tcPr>
            <w:tcW w:w="3119" w:type="dxa"/>
          </w:tcPr>
          <w:p w:rsidR="00FF14B0" w:rsidRDefault="00FF14B0" w:rsidP="00FF14B0">
            <w:pPr>
              <w:jc w:val="center"/>
            </w:pPr>
            <w:r w:rsidRPr="004B561E">
              <w:t>No need to restrict</w:t>
            </w:r>
          </w:p>
        </w:tc>
        <w:tc>
          <w:tcPr>
            <w:tcW w:w="3038" w:type="dxa"/>
          </w:tcPr>
          <w:p w:rsidR="00FF14B0" w:rsidRDefault="00FF14B0" w:rsidP="00652892">
            <w:pPr>
              <w:jc w:val="center"/>
            </w:pPr>
            <w:r>
              <w:t>x</w:t>
            </w:r>
          </w:p>
        </w:tc>
      </w:tr>
      <w:tr w:rsidR="00FF14B0" w:rsidTr="00EF1D15">
        <w:trPr>
          <w:gridAfter w:val="1"/>
          <w:wAfter w:w="30" w:type="dxa"/>
          <w:trHeight w:val="270"/>
        </w:trPr>
        <w:tc>
          <w:tcPr>
            <w:tcW w:w="1526" w:type="dxa"/>
          </w:tcPr>
          <w:p w:rsidR="00FF14B0" w:rsidRDefault="00EC71CD" w:rsidP="00BD7E0D">
            <w:hyperlink r:id="rId14" w:history="1">
              <w:r w:rsidR="00FF14B0" w:rsidRPr="0020591D">
                <w:rPr>
                  <w:rStyle w:val="Hyperlink"/>
                </w:rPr>
                <w:t>OMB Zeta</w:t>
              </w:r>
            </w:hyperlink>
          </w:p>
        </w:tc>
        <w:tc>
          <w:tcPr>
            <w:tcW w:w="1559" w:type="dxa"/>
            <w:gridSpan w:val="2"/>
          </w:tcPr>
          <w:p w:rsidR="00FF14B0" w:rsidRDefault="00E603BF" w:rsidP="00E603BF">
            <w:pPr>
              <w:jc w:val="center"/>
            </w:pPr>
            <w:r>
              <w:t>&gt; £</w:t>
            </w:r>
            <w:r w:rsidR="00687AE7">
              <w:t>90k</w:t>
            </w:r>
          </w:p>
        </w:tc>
        <w:tc>
          <w:tcPr>
            <w:tcW w:w="3119" w:type="dxa"/>
          </w:tcPr>
          <w:p w:rsidR="00FF14B0" w:rsidRDefault="00FF14B0" w:rsidP="00FF14B0">
            <w:pPr>
              <w:jc w:val="center"/>
            </w:pPr>
            <w:r w:rsidRPr="004B561E">
              <w:t>No need to restrict</w:t>
            </w:r>
          </w:p>
        </w:tc>
        <w:tc>
          <w:tcPr>
            <w:tcW w:w="3038" w:type="dxa"/>
          </w:tcPr>
          <w:p w:rsidR="00FF14B0" w:rsidRDefault="00FF14B0" w:rsidP="00652892">
            <w:pPr>
              <w:jc w:val="center"/>
            </w:pPr>
            <w:r>
              <w:rPr>
                <w:rFonts w:ascii="MS Mincho" w:eastAsia="MS Mincho" w:hAnsi="MS Mincho" w:cs="Arial"/>
                <w:color w:val="273D49"/>
                <w:sz w:val="20"/>
                <w:szCs w:val="20"/>
              </w:rPr>
              <w:t>✓</w:t>
            </w:r>
          </w:p>
        </w:tc>
      </w:tr>
      <w:tr w:rsidR="00606A0B" w:rsidTr="00EF1D15">
        <w:trPr>
          <w:gridAfter w:val="1"/>
          <w:wAfter w:w="30" w:type="dxa"/>
          <w:trHeight w:val="270"/>
        </w:trPr>
        <w:tc>
          <w:tcPr>
            <w:tcW w:w="1526" w:type="dxa"/>
          </w:tcPr>
          <w:p w:rsidR="00606A0B" w:rsidRDefault="00EC71CD">
            <w:hyperlink r:id="rId15" w:history="1">
              <w:r w:rsidR="00606A0B" w:rsidRPr="0020591D">
                <w:rPr>
                  <w:rStyle w:val="Hyperlink"/>
                </w:rPr>
                <w:t>OMB Eta</w:t>
              </w:r>
            </w:hyperlink>
          </w:p>
        </w:tc>
        <w:tc>
          <w:tcPr>
            <w:tcW w:w="1559" w:type="dxa"/>
            <w:gridSpan w:val="2"/>
          </w:tcPr>
          <w:p w:rsidR="00606A0B" w:rsidRDefault="00E603BF" w:rsidP="00E603BF">
            <w:pPr>
              <w:jc w:val="center"/>
            </w:pPr>
            <w:r>
              <w:t xml:space="preserve">&gt; </w:t>
            </w:r>
            <w:r w:rsidR="007D005C">
              <w:t>£45k</w:t>
            </w:r>
          </w:p>
        </w:tc>
        <w:tc>
          <w:tcPr>
            <w:tcW w:w="3119" w:type="dxa"/>
          </w:tcPr>
          <w:p w:rsidR="00606A0B" w:rsidRPr="004B561E" w:rsidRDefault="007D005C" w:rsidP="00FF14B0">
            <w:pPr>
              <w:jc w:val="center"/>
            </w:pPr>
            <w:r>
              <w:t>Keep below 40% personal tax</w:t>
            </w:r>
          </w:p>
        </w:tc>
        <w:tc>
          <w:tcPr>
            <w:tcW w:w="3038" w:type="dxa"/>
          </w:tcPr>
          <w:p w:rsidR="00606A0B" w:rsidRDefault="00681DF9" w:rsidP="00652892">
            <w:pPr>
              <w:jc w:val="center"/>
            </w:pPr>
            <w:r>
              <w:t>x</w:t>
            </w:r>
          </w:p>
        </w:tc>
      </w:tr>
      <w:tr w:rsidR="00606A0B" w:rsidTr="00EF1D15">
        <w:trPr>
          <w:gridAfter w:val="1"/>
          <w:wAfter w:w="30" w:type="dxa"/>
          <w:trHeight w:val="270"/>
        </w:trPr>
        <w:tc>
          <w:tcPr>
            <w:tcW w:w="1526" w:type="dxa"/>
          </w:tcPr>
          <w:p w:rsidR="00606A0B" w:rsidRDefault="00EC71CD">
            <w:hyperlink r:id="rId16" w:history="1">
              <w:r w:rsidR="00606A0B" w:rsidRPr="0020591D">
                <w:rPr>
                  <w:rStyle w:val="Hyperlink"/>
                </w:rPr>
                <w:t>OMB Theta</w:t>
              </w:r>
            </w:hyperlink>
          </w:p>
        </w:tc>
        <w:tc>
          <w:tcPr>
            <w:tcW w:w="1559" w:type="dxa"/>
            <w:gridSpan w:val="2"/>
          </w:tcPr>
          <w:p w:rsidR="00606A0B" w:rsidRDefault="00E603BF" w:rsidP="00E603BF">
            <w:pPr>
              <w:jc w:val="center"/>
            </w:pPr>
            <w:r>
              <w:t xml:space="preserve">&gt; </w:t>
            </w:r>
            <w:r w:rsidR="007D005C">
              <w:t>£90k</w:t>
            </w:r>
          </w:p>
        </w:tc>
        <w:tc>
          <w:tcPr>
            <w:tcW w:w="3119" w:type="dxa"/>
          </w:tcPr>
          <w:p w:rsidR="00606A0B" w:rsidRPr="004B561E" w:rsidRDefault="007D005C" w:rsidP="00FF14B0">
            <w:pPr>
              <w:jc w:val="center"/>
            </w:pPr>
            <w:r>
              <w:t>Keep below 40% personal tax</w:t>
            </w:r>
          </w:p>
        </w:tc>
        <w:tc>
          <w:tcPr>
            <w:tcW w:w="3038" w:type="dxa"/>
          </w:tcPr>
          <w:p w:rsidR="00606A0B" w:rsidRDefault="00681DF9" w:rsidP="00652892">
            <w:pPr>
              <w:jc w:val="center"/>
            </w:pPr>
            <w:r>
              <w:rPr>
                <w:rFonts w:ascii="MS Mincho" w:eastAsia="MS Mincho" w:hAnsi="MS Mincho" w:cs="Arial"/>
                <w:color w:val="273D49"/>
                <w:sz w:val="20"/>
                <w:szCs w:val="20"/>
              </w:rPr>
              <w:t>✓</w:t>
            </w:r>
          </w:p>
        </w:tc>
      </w:tr>
      <w:tr w:rsidR="004A67F9" w:rsidTr="00EF1D15">
        <w:trPr>
          <w:gridAfter w:val="1"/>
          <w:wAfter w:w="30" w:type="dxa"/>
          <w:trHeight w:val="270"/>
        </w:trPr>
        <w:tc>
          <w:tcPr>
            <w:tcW w:w="1526" w:type="dxa"/>
          </w:tcPr>
          <w:p w:rsidR="004A67F9" w:rsidRDefault="00EC71CD" w:rsidP="00B54149">
            <w:hyperlink r:id="rId17" w:history="1">
              <w:r w:rsidR="004A67F9" w:rsidRPr="0020591D">
                <w:rPr>
                  <w:rStyle w:val="Hyperlink"/>
                </w:rPr>
                <w:t>OMB Iota</w:t>
              </w:r>
            </w:hyperlink>
          </w:p>
        </w:tc>
        <w:tc>
          <w:tcPr>
            <w:tcW w:w="1559" w:type="dxa"/>
            <w:gridSpan w:val="2"/>
          </w:tcPr>
          <w:p w:rsidR="004A67F9" w:rsidRDefault="004A67F9" w:rsidP="00E603BF">
            <w:pPr>
              <w:jc w:val="center"/>
            </w:pPr>
            <w:r>
              <w:t>&gt; £45k</w:t>
            </w:r>
          </w:p>
        </w:tc>
        <w:tc>
          <w:tcPr>
            <w:tcW w:w="3119" w:type="dxa"/>
          </w:tcPr>
          <w:p w:rsidR="004A67F9" w:rsidRDefault="004A67F9" w:rsidP="00E603BF">
            <w:pPr>
              <w:jc w:val="center"/>
            </w:pPr>
            <w:r>
              <w:t>Keep below 60%</w:t>
            </w:r>
            <w:r w:rsidR="005A2C5D">
              <w:t xml:space="preserve"> </w:t>
            </w:r>
            <w:r>
              <w:t>personal tax</w:t>
            </w:r>
          </w:p>
        </w:tc>
        <w:tc>
          <w:tcPr>
            <w:tcW w:w="3038" w:type="dxa"/>
          </w:tcPr>
          <w:p w:rsidR="004A67F9" w:rsidRDefault="004A67F9" w:rsidP="00652892">
            <w:pPr>
              <w:jc w:val="center"/>
            </w:pPr>
            <w:r>
              <w:t>x</w:t>
            </w:r>
          </w:p>
        </w:tc>
      </w:tr>
      <w:tr w:rsidR="004A67F9" w:rsidTr="00EF1D15">
        <w:trPr>
          <w:trHeight w:val="270"/>
        </w:trPr>
        <w:tc>
          <w:tcPr>
            <w:tcW w:w="1526" w:type="dxa"/>
          </w:tcPr>
          <w:p w:rsidR="004A67F9" w:rsidRDefault="00EC71CD" w:rsidP="002B5FA1">
            <w:hyperlink r:id="rId18" w:history="1">
              <w:r w:rsidR="004A67F9" w:rsidRPr="0020591D">
                <w:rPr>
                  <w:rStyle w:val="Hyperlink"/>
                </w:rPr>
                <w:t>OMB Kappa</w:t>
              </w:r>
            </w:hyperlink>
          </w:p>
        </w:tc>
        <w:tc>
          <w:tcPr>
            <w:tcW w:w="1276" w:type="dxa"/>
          </w:tcPr>
          <w:p w:rsidR="004A67F9" w:rsidRDefault="004A67F9" w:rsidP="00E603BF">
            <w:pPr>
              <w:jc w:val="center"/>
            </w:pPr>
            <w:r>
              <w:t>&gt; £90k</w:t>
            </w:r>
          </w:p>
        </w:tc>
        <w:tc>
          <w:tcPr>
            <w:tcW w:w="3402" w:type="dxa"/>
            <w:gridSpan w:val="2"/>
          </w:tcPr>
          <w:p w:rsidR="004A67F9" w:rsidRDefault="004A67F9" w:rsidP="00E603BF">
            <w:pPr>
              <w:jc w:val="center"/>
            </w:pPr>
            <w:r>
              <w:t>Keep below 60%</w:t>
            </w:r>
            <w:r w:rsidR="005A2C5D">
              <w:t xml:space="preserve"> </w:t>
            </w:r>
            <w:r>
              <w:t>personal tax</w:t>
            </w:r>
          </w:p>
        </w:tc>
        <w:tc>
          <w:tcPr>
            <w:tcW w:w="3068" w:type="dxa"/>
            <w:gridSpan w:val="2"/>
          </w:tcPr>
          <w:p w:rsidR="004A67F9" w:rsidRDefault="004A67F9" w:rsidP="00652892">
            <w:pPr>
              <w:jc w:val="center"/>
            </w:pPr>
            <w:r>
              <w:rPr>
                <w:rFonts w:ascii="MS Mincho" w:eastAsia="MS Mincho" w:hAnsi="MS Mincho" w:cs="Arial"/>
                <w:color w:val="273D49"/>
                <w:sz w:val="20"/>
                <w:szCs w:val="20"/>
              </w:rPr>
              <w:t>✓</w:t>
            </w:r>
          </w:p>
        </w:tc>
      </w:tr>
      <w:tr w:rsidR="004A67F9" w:rsidTr="00EF1D15">
        <w:trPr>
          <w:trHeight w:val="270"/>
        </w:trPr>
        <w:tc>
          <w:tcPr>
            <w:tcW w:w="1526" w:type="dxa"/>
          </w:tcPr>
          <w:p w:rsidR="004A67F9" w:rsidRDefault="00EC71CD" w:rsidP="004A67F9">
            <w:hyperlink r:id="rId19" w:history="1">
              <w:r w:rsidR="004A67F9" w:rsidRPr="0020591D">
                <w:rPr>
                  <w:rStyle w:val="Hyperlink"/>
                </w:rPr>
                <w:t>OMB Lambda</w:t>
              </w:r>
            </w:hyperlink>
          </w:p>
        </w:tc>
        <w:tc>
          <w:tcPr>
            <w:tcW w:w="1276" w:type="dxa"/>
          </w:tcPr>
          <w:p w:rsidR="004A67F9" w:rsidRDefault="004A67F9" w:rsidP="00E603BF">
            <w:pPr>
              <w:jc w:val="center"/>
            </w:pPr>
            <w:r>
              <w:t>&gt; £45k</w:t>
            </w:r>
          </w:p>
        </w:tc>
        <w:tc>
          <w:tcPr>
            <w:tcW w:w="3402" w:type="dxa"/>
            <w:gridSpan w:val="2"/>
          </w:tcPr>
          <w:p w:rsidR="004A67F9" w:rsidRDefault="004A67F9" w:rsidP="004A67F9">
            <w:pPr>
              <w:jc w:val="center"/>
            </w:pPr>
            <w:r>
              <w:t>Keep below 45%</w:t>
            </w:r>
            <w:r w:rsidR="005A2C5D">
              <w:t xml:space="preserve"> </w:t>
            </w:r>
            <w:r>
              <w:t>personal tax</w:t>
            </w:r>
          </w:p>
        </w:tc>
        <w:tc>
          <w:tcPr>
            <w:tcW w:w="3068" w:type="dxa"/>
            <w:gridSpan w:val="2"/>
          </w:tcPr>
          <w:p w:rsidR="004A67F9" w:rsidRDefault="004A67F9" w:rsidP="00652892">
            <w:pPr>
              <w:jc w:val="center"/>
            </w:pPr>
            <w:r>
              <w:t>x</w:t>
            </w:r>
          </w:p>
        </w:tc>
      </w:tr>
      <w:tr w:rsidR="004A67F9" w:rsidTr="00EF1D15">
        <w:trPr>
          <w:trHeight w:val="270"/>
        </w:trPr>
        <w:tc>
          <w:tcPr>
            <w:tcW w:w="1526" w:type="dxa"/>
          </w:tcPr>
          <w:p w:rsidR="004A67F9" w:rsidRDefault="00EC71CD" w:rsidP="004A67F9">
            <w:hyperlink r:id="rId20" w:history="1">
              <w:r w:rsidR="004A67F9" w:rsidRPr="0020591D">
                <w:rPr>
                  <w:rStyle w:val="Hyperlink"/>
                </w:rPr>
                <w:t>OMB Mu</w:t>
              </w:r>
            </w:hyperlink>
          </w:p>
        </w:tc>
        <w:tc>
          <w:tcPr>
            <w:tcW w:w="1276" w:type="dxa"/>
          </w:tcPr>
          <w:p w:rsidR="004A67F9" w:rsidRDefault="004A67F9" w:rsidP="00E603BF">
            <w:pPr>
              <w:jc w:val="center"/>
            </w:pPr>
            <w:r>
              <w:t>&gt; £90k</w:t>
            </w:r>
          </w:p>
        </w:tc>
        <w:tc>
          <w:tcPr>
            <w:tcW w:w="3402" w:type="dxa"/>
            <w:gridSpan w:val="2"/>
          </w:tcPr>
          <w:p w:rsidR="004A67F9" w:rsidRDefault="004A67F9" w:rsidP="005A2C5D">
            <w:pPr>
              <w:jc w:val="center"/>
            </w:pPr>
            <w:r>
              <w:t>Keep below 45%</w:t>
            </w:r>
            <w:r w:rsidR="005A2C5D">
              <w:t xml:space="preserve"> </w:t>
            </w:r>
            <w:r>
              <w:t>personal tax</w:t>
            </w:r>
          </w:p>
        </w:tc>
        <w:tc>
          <w:tcPr>
            <w:tcW w:w="3068" w:type="dxa"/>
            <w:gridSpan w:val="2"/>
          </w:tcPr>
          <w:p w:rsidR="004A67F9" w:rsidRDefault="004A67F9" w:rsidP="00652892">
            <w:pPr>
              <w:jc w:val="center"/>
            </w:pPr>
            <w:r>
              <w:rPr>
                <w:rFonts w:ascii="MS Mincho" w:eastAsia="MS Mincho" w:hAnsi="MS Mincho" w:cs="Arial"/>
                <w:color w:val="273D49"/>
                <w:sz w:val="20"/>
                <w:szCs w:val="20"/>
              </w:rPr>
              <w:t>✓</w:t>
            </w:r>
          </w:p>
        </w:tc>
      </w:tr>
    </w:tbl>
    <w:p w:rsidR="00AB61DD" w:rsidRDefault="00AB61DD" w:rsidP="00D347F7">
      <w:pPr>
        <w:spacing w:after="0"/>
        <w:rPr>
          <w:b/>
          <w:sz w:val="26"/>
          <w:szCs w:val="26"/>
        </w:rPr>
      </w:pPr>
    </w:p>
    <w:p w:rsidR="00D347F7" w:rsidRPr="00213380" w:rsidRDefault="00D347F7" w:rsidP="00D347F7">
      <w:pPr>
        <w:spacing w:after="0"/>
        <w:rPr>
          <w:b/>
          <w:sz w:val="26"/>
          <w:szCs w:val="26"/>
        </w:rPr>
      </w:pPr>
      <w:r w:rsidRPr="00213380">
        <w:rPr>
          <w:b/>
          <w:sz w:val="26"/>
          <w:szCs w:val="26"/>
        </w:rPr>
        <w:t xml:space="preserve">Tax Strategies </w:t>
      </w:r>
      <w:r w:rsidRPr="00243F7E">
        <w:rPr>
          <w:b/>
          <w:color w:val="7F7F7F" w:themeColor="text1" w:themeTint="80"/>
          <w:sz w:val="26"/>
          <w:szCs w:val="26"/>
        </w:rPr>
        <w:t>&gt;</w:t>
      </w:r>
      <w:r w:rsidRPr="00213380">
        <w:rPr>
          <w:b/>
          <w:sz w:val="26"/>
          <w:szCs w:val="26"/>
        </w:rPr>
        <w:t xml:space="preserve"> Owner Managed Businesses</w:t>
      </w:r>
      <w:r>
        <w:rPr>
          <w:b/>
          <w:sz w:val="26"/>
          <w:szCs w:val="26"/>
        </w:rPr>
        <w:t xml:space="preserve"> </w:t>
      </w:r>
      <w:r w:rsidRPr="00243F7E">
        <w:rPr>
          <w:b/>
          <w:color w:val="7F7F7F" w:themeColor="text1" w:themeTint="80"/>
          <w:sz w:val="26"/>
          <w:szCs w:val="26"/>
        </w:rPr>
        <w:t xml:space="preserve">&gt; </w:t>
      </w:r>
      <w:r>
        <w:rPr>
          <w:b/>
          <w:sz w:val="26"/>
          <w:szCs w:val="26"/>
        </w:rPr>
        <w:t>Alpha</w:t>
      </w:r>
    </w:p>
    <w:p w:rsidR="00D347F7" w:rsidRDefault="00D347F7" w:rsidP="00D347F7">
      <w:pPr>
        <w:spacing w:after="0"/>
      </w:pPr>
      <w:r w:rsidRPr="00213380">
        <w:rPr>
          <w:b/>
          <w:sz w:val="26"/>
          <w:szCs w:val="26"/>
        </w:rPr>
        <w:t>Tax Year:</w:t>
      </w:r>
      <w:r>
        <w:t xml:space="preserve"> </w:t>
      </w:r>
      <w:r w:rsidRPr="00243F7E">
        <w:rPr>
          <w:color w:val="7F7F7F" w:themeColor="text1" w:themeTint="80"/>
        </w:rPr>
        <w:t>2013/14</w:t>
      </w:r>
    </w:p>
    <w:p w:rsidR="00D347F7" w:rsidRDefault="00D347F7" w:rsidP="00A13035">
      <w:pPr>
        <w:spacing w:after="0"/>
      </w:pPr>
    </w:p>
    <w:p w:rsidR="00C40987" w:rsidRPr="00C40987" w:rsidRDefault="00F94330" w:rsidP="00A13035">
      <w:pPr>
        <w:spacing w:after="0"/>
        <w:rPr>
          <w:b/>
          <w:sz w:val="26"/>
          <w:szCs w:val="26"/>
        </w:rPr>
      </w:pPr>
      <w:r>
        <w:rPr>
          <w:b/>
          <w:sz w:val="26"/>
          <w:szCs w:val="26"/>
        </w:rPr>
        <w:t>Tax Decision Points S</w:t>
      </w:r>
      <w:r w:rsidR="00C40987" w:rsidRPr="00C40987">
        <w:rPr>
          <w:b/>
          <w:sz w:val="26"/>
          <w:szCs w:val="26"/>
        </w:rPr>
        <w:t>uitable For:</w:t>
      </w:r>
    </w:p>
    <w:p w:rsidR="00C40987" w:rsidRDefault="00C40987" w:rsidP="00A13035">
      <w:pPr>
        <w:spacing w:after="0"/>
      </w:pPr>
    </w:p>
    <w:tbl>
      <w:tblPr>
        <w:tblStyle w:val="TableGrid"/>
        <w:tblW w:w="9889" w:type="dxa"/>
        <w:tblLayout w:type="fixed"/>
        <w:tblLook w:val="04A0" w:firstRow="1" w:lastRow="0" w:firstColumn="1" w:lastColumn="0" w:noHBand="0" w:noVBand="1"/>
      </w:tblPr>
      <w:tblGrid>
        <w:gridCol w:w="1526"/>
        <w:gridCol w:w="1701"/>
        <w:gridCol w:w="3685"/>
        <w:gridCol w:w="2977"/>
      </w:tblGrid>
      <w:tr w:rsidR="003F651B" w:rsidRPr="00BD7E0D" w:rsidTr="008917D8">
        <w:trPr>
          <w:trHeight w:val="301"/>
        </w:trPr>
        <w:tc>
          <w:tcPr>
            <w:tcW w:w="1526" w:type="dxa"/>
          </w:tcPr>
          <w:p w:rsidR="003F651B" w:rsidRPr="00BD7E0D" w:rsidRDefault="003F651B" w:rsidP="008917D8">
            <w:pPr>
              <w:rPr>
                <w:b/>
              </w:rPr>
            </w:pPr>
            <w:r w:rsidRPr="00BD7E0D">
              <w:rPr>
                <w:b/>
              </w:rPr>
              <w:t>Strategy</w:t>
            </w:r>
          </w:p>
        </w:tc>
        <w:tc>
          <w:tcPr>
            <w:tcW w:w="1701" w:type="dxa"/>
          </w:tcPr>
          <w:p w:rsidR="003F651B" w:rsidRPr="00BD7E0D" w:rsidRDefault="003F651B" w:rsidP="008917D8">
            <w:pPr>
              <w:jc w:val="center"/>
              <w:rPr>
                <w:b/>
              </w:rPr>
            </w:pPr>
            <w:r>
              <w:rPr>
                <w:b/>
              </w:rPr>
              <w:t>Business Profits</w:t>
            </w:r>
          </w:p>
        </w:tc>
        <w:tc>
          <w:tcPr>
            <w:tcW w:w="3685" w:type="dxa"/>
          </w:tcPr>
          <w:p w:rsidR="003F651B" w:rsidRDefault="003F651B" w:rsidP="008917D8">
            <w:pPr>
              <w:jc w:val="center"/>
              <w:rPr>
                <w:b/>
              </w:rPr>
            </w:pPr>
            <w:r>
              <w:rPr>
                <w:b/>
              </w:rPr>
              <w:t>Personal Income Requirements Now</w:t>
            </w:r>
          </w:p>
        </w:tc>
        <w:tc>
          <w:tcPr>
            <w:tcW w:w="2977" w:type="dxa"/>
          </w:tcPr>
          <w:p w:rsidR="003F651B" w:rsidRPr="00BD7E0D" w:rsidRDefault="003F651B" w:rsidP="008917D8">
            <w:pPr>
              <w:jc w:val="center"/>
              <w:rPr>
                <w:b/>
              </w:rPr>
            </w:pPr>
            <w:r>
              <w:rPr>
                <w:b/>
              </w:rPr>
              <w:t>Spouse Involved in Business?</w:t>
            </w:r>
          </w:p>
        </w:tc>
      </w:tr>
      <w:tr w:rsidR="003F651B" w:rsidTr="008917D8">
        <w:trPr>
          <w:trHeight w:val="268"/>
        </w:trPr>
        <w:tc>
          <w:tcPr>
            <w:tcW w:w="1526" w:type="dxa"/>
          </w:tcPr>
          <w:p w:rsidR="003F651B" w:rsidRDefault="003F651B" w:rsidP="008917D8">
            <w:r>
              <w:t>OMB Alpha</w:t>
            </w:r>
          </w:p>
        </w:tc>
        <w:tc>
          <w:tcPr>
            <w:tcW w:w="1701" w:type="dxa"/>
          </w:tcPr>
          <w:p w:rsidR="003F651B" w:rsidRDefault="003F651B" w:rsidP="008917D8">
            <w:pPr>
              <w:jc w:val="center"/>
            </w:pPr>
            <w:r>
              <w:t>&lt; £15k</w:t>
            </w:r>
          </w:p>
        </w:tc>
        <w:tc>
          <w:tcPr>
            <w:tcW w:w="3685" w:type="dxa"/>
          </w:tcPr>
          <w:p w:rsidR="003F651B" w:rsidRDefault="003F651B" w:rsidP="008917D8">
            <w:pPr>
              <w:jc w:val="center"/>
            </w:pPr>
            <w:r>
              <w:t xml:space="preserve">Up to £xxx per month </w:t>
            </w:r>
          </w:p>
        </w:tc>
        <w:tc>
          <w:tcPr>
            <w:tcW w:w="2977" w:type="dxa"/>
          </w:tcPr>
          <w:p w:rsidR="003F651B" w:rsidRDefault="003F651B" w:rsidP="008917D8">
            <w:pPr>
              <w:jc w:val="center"/>
            </w:pPr>
            <w:r>
              <w:t>x</w:t>
            </w:r>
          </w:p>
        </w:tc>
      </w:tr>
    </w:tbl>
    <w:p w:rsidR="00213380" w:rsidRDefault="00213380" w:rsidP="00A13035">
      <w:pPr>
        <w:spacing w:after="0"/>
      </w:pPr>
    </w:p>
    <w:p w:rsidR="00213380" w:rsidRDefault="004D4931" w:rsidP="00A13035">
      <w:pPr>
        <w:spacing w:after="0"/>
        <w:rPr>
          <w:b/>
          <w:sz w:val="26"/>
          <w:szCs w:val="26"/>
        </w:rPr>
      </w:pPr>
      <w:r w:rsidRPr="00A13035">
        <w:rPr>
          <w:b/>
          <w:sz w:val="26"/>
          <w:szCs w:val="26"/>
        </w:rPr>
        <w:t>Tax Minimisation</w:t>
      </w:r>
    </w:p>
    <w:p w:rsidR="002E4DAF" w:rsidRPr="00A13035" w:rsidRDefault="002E4DAF" w:rsidP="00A13035">
      <w:pPr>
        <w:spacing w:after="0"/>
        <w:rPr>
          <w:b/>
          <w:sz w:val="26"/>
          <w:szCs w:val="26"/>
        </w:rPr>
      </w:pPr>
    </w:p>
    <w:p w:rsidR="00676A2E" w:rsidRDefault="00676A2E" w:rsidP="00676A2E">
      <w:pPr>
        <w:pStyle w:val="ListParagraph"/>
        <w:numPr>
          <w:ilvl w:val="1"/>
          <w:numId w:val="1"/>
        </w:numPr>
        <w:spacing w:after="0"/>
      </w:pPr>
      <w:r>
        <w:t xml:space="preserve">       </w:t>
      </w:r>
      <w:r w:rsidR="00D271D1">
        <w:t>Structure</w:t>
      </w:r>
      <w:r w:rsidR="00A13035">
        <w:t xml:space="preserve"> </w:t>
      </w:r>
      <w:r w:rsidR="0062672F">
        <w:t xml:space="preserve">business </w:t>
      </w:r>
      <w:r w:rsidR="00A13035">
        <w:t>as a sole trader</w:t>
      </w:r>
      <w:r w:rsidR="00592219">
        <w:t>/partnership</w:t>
      </w:r>
      <w:r w:rsidR="00A13035">
        <w:t>/limited company</w:t>
      </w:r>
    </w:p>
    <w:p w:rsidR="00774218" w:rsidRDefault="006A5B1E" w:rsidP="006A5B1E">
      <w:pPr>
        <w:pStyle w:val="ListParagraph"/>
        <w:numPr>
          <w:ilvl w:val="1"/>
          <w:numId w:val="1"/>
        </w:numPr>
        <w:spacing w:after="0"/>
      </w:pPr>
      <w:r>
        <w:tab/>
      </w:r>
      <w:r w:rsidR="00F829F5">
        <w:t xml:space="preserve">Involve spouse as </w:t>
      </w:r>
      <w:r w:rsidR="00774218">
        <w:t xml:space="preserve">a director and </w:t>
      </w:r>
      <w:r w:rsidR="00F829F5">
        <w:t>shareholder, owning a % stake commensurate with their</w:t>
      </w:r>
    </w:p>
    <w:p w:rsidR="006C4A66" w:rsidRDefault="00F829F5" w:rsidP="00774218">
      <w:pPr>
        <w:pStyle w:val="ListParagraph"/>
        <w:spacing w:after="0"/>
        <w:ind w:left="360" w:firstLine="360"/>
      </w:pPr>
      <w:r>
        <w:t>involvement in</w:t>
      </w:r>
      <w:r w:rsidR="00774218">
        <w:t xml:space="preserve"> </w:t>
      </w:r>
      <w:r>
        <w:t>the business</w:t>
      </w:r>
      <w:r w:rsidR="006C4A66">
        <w:t>.</w:t>
      </w:r>
    </w:p>
    <w:p w:rsidR="006C4A66" w:rsidRDefault="006C4A66" w:rsidP="006C4A66">
      <w:pPr>
        <w:pStyle w:val="ListParagraph"/>
        <w:numPr>
          <w:ilvl w:val="1"/>
          <w:numId w:val="1"/>
        </w:numPr>
        <w:spacing w:after="0"/>
      </w:pPr>
      <w:r>
        <w:t xml:space="preserve">       C</w:t>
      </w:r>
      <w:r w:rsidR="00F829F5">
        <w:t xml:space="preserve">onsider </w:t>
      </w:r>
      <w:r>
        <w:t xml:space="preserve">structuring shares as </w:t>
      </w:r>
      <w:r w:rsidR="00F829F5">
        <w:t>‘alphabet shares’</w:t>
      </w:r>
      <w:r>
        <w:t>, to give added tax flexibility to future</w:t>
      </w:r>
    </w:p>
    <w:p w:rsidR="006C4A66" w:rsidRDefault="006C4A66" w:rsidP="006C4A66">
      <w:pPr>
        <w:pStyle w:val="ListParagraph"/>
        <w:spacing w:after="0"/>
        <w:ind w:left="360" w:firstLine="360"/>
      </w:pPr>
      <w:r>
        <w:t>dividend distributions.</w:t>
      </w:r>
    </w:p>
    <w:p w:rsidR="00676A2E" w:rsidRDefault="006C4A66" w:rsidP="006C4A66">
      <w:pPr>
        <w:pStyle w:val="ListParagraph"/>
        <w:numPr>
          <w:ilvl w:val="1"/>
          <w:numId w:val="1"/>
        </w:numPr>
        <w:spacing w:after="0"/>
      </w:pPr>
      <w:r>
        <w:t xml:space="preserve">       </w:t>
      </w:r>
      <w:r w:rsidR="00676A2E">
        <w:t>Capture and maximise all expenses</w:t>
      </w:r>
      <w:r w:rsidR="00A44C64">
        <w:t xml:space="preserve"> that are valid </w:t>
      </w:r>
      <w:r w:rsidR="00381E24">
        <w:t xml:space="preserve">business </w:t>
      </w:r>
      <w:r w:rsidR="00A44C64">
        <w:t>tax deductions</w:t>
      </w:r>
      <w:r w:rsidR="00676A2E">
        <w:t>, inc:</w:t>
      </w:r>
    </w:p>
    <w:p w:rsidR="00D47A45" w:rsidRDefault="00EC5C26" w:rsidP="00D47A45">
      <w:pPr>
        <w:pStyle w:val="ListParagraph"/>
        <w:numPr>
          <w:ilvl w:val="0"/>
          <w:numId w:val="7"/>
        </w:numPr>
        <w:spacing w:after="0"/>
      </w:pPr>
      <w:r>
        <w:t xml:space="preserve">Use of Home as Office/Storage: </w:t>
      </w:r>
    </w:p>
    <w:p w:rsidR="002D194B" w:rsidRDefault="002D194B" w:rsidP="002D194B">
      <w:pPr>
        <w:pStyle w:val="ListParagraph"/>
        <w:numPr>
          <w:ilvl w:val="1"/>
          <w:numId w:val="7"/>
        </w:numPr>
        <w:spacing w:after="0"/>
      </w:pPr>
      <w:r>
        <w:t>Employe</w:t>
      </w:r>
      <w:r w:rsidR="00183ECA">
        <w:t>d</w:t>
      </w:r>
      <w:r>
        <w:t>:</w:t>
      </w:r>
      <w:r w:rsidR="00DA0B87">
        <w:t xml:space="preserve"> </w:t>
      </w:r>
      <w:r>
        <w:t xml:space="preserve"> </w:t>
      </w:r>
      <w:hyperlink r:id="rId21" w:history="1">
        <w:r w:rsidRPr="00150DAD">
          <w:rPr>
            <w:rStyle w:val="Hyperlink"/>
          </w:rPr>
          <w:t>http://www.hmrc.gov.uk/manuals/eimanual/EIM32815.htm</w:t>
        </w:r>
      </w:hyperlink>
    </w:p>
    <w:p w:rsidR="00406419" w:rsidRDefault="002D194B" w:rsidP="00406419">
      <w:pPr>
        <w:pStyle w:val="ListParagraph"/>
        <w:numPr>
          <w:ilvl w:val="1"/>
          <w:numId w:val="7"/>
        </w:numPr>
        <w:spacing w:after="0"/>
      </w:pPr>
      <w:r>
        <w:t>Self Employed:</w:t>
      </w:r>
      <w:r w:rsidR="00DA0B87">
        <w:t xml:space="preserve"> </w:t>
      </w:r>
      <w:r>
        <w:t xml:space="preserve"> </w:t>
      </w:r>
      <w:hyperlink r:id="rId22" w:history="1">
        <w:r w:rsidR="00406419" w:rsidRPr="00150DAD">
          <w:rPr>
            <w:rStyle w:val="Hyperlink"/>
          </w:rPr>
          <w:t>http://www.hmrc.gov.uk/manuals/bimmanual/BIM47800.htm</w:t>
        </w:r>
      </w:hyperlink>
    </w:p>
    <w:p w:rsidR="00951B81" w:rsidRDefault="00951B81" w:rsidP="00951B81">
      <w:pPr>
        <w:pStyle w:val="ListParagraph"/>
        <w:numPr>
          <w:ilvl w:val="0"/>
          <w:numId w:val="7"/>
        </w:numPr>
        <w:spacing w:after="0"/>
      </w:pPr>
      <w:r>
        <w:t>Travel (actual or scale rate)</w:t>
      </w:r>
    </w:p>
    <w:p w:rsidR="004F3D0F" w:rsidRDefault="00951B81" w:rsidP="0010586F">
      <w:pPr>
        <w:pStyle w:val="ListParagraph"/>
        <w:numPr>
          <w:ilvl w:val="0"/>
          <w:numId w:val="7"/>
        </w:numPr>
        <w:spacing w:after="0"/>
      </w:pPr>
      <w:r>
        <w:t>Subsistence (actual or scale rate)</w:t>
      </w:r>
      <w:r w:rsidR="0010586F">
        <w:t>. Consider special rules for overseas travel:</w:t>
      </w:r>
    </w:p>
    <w:p w:rsidR="0010586F" w:rsidRDefault="0010586F" w:rsidP="0010586F">
      <w:pPr>
        <w:pStyle w:val="ListParagraph"/>
        <w:numPr>
          <w:ilvl w:val="1"/>
          <w:numId w:val="7"/>
        </w:numPr>
        <w:spacing w:after="0"/>
      </w:pPr>
      <w:r>
        <w:t xml:space="preserve">Scale rates:  </w:t>
      </w:r>
      <w:hyperlink r:id="rId23" w:history="1">
        <w:r w:rsidRPr="0010586F">
          <w:rPr>
            <w:color w:val="0000FF"/>
            <w:u w:val="single"/>
          </w:rPr>
          <w:t>http://www.hmrc.gov.uk/employers/wwsr-bench-2012.pdf</w:t>
        </w:r>
      </w:hyperlink>
    </w:p>
    <w:p w:rsidR="0010586F" w:rsidRDefault="0010586F" w:rsidP="0010586F">
      <w:pPr>
        <w:pStyle w:val="ListParagraph"/>
        <w:numPr>
          <w:ilvl w:val="1"/>
          <w:numId w:val="7"/>
        </w:numPr>
        <w:spacing w:after="0"/>
      </w:pPr>
      <w:r>
        <w:t xml:space="preserve">Incidental overnight expenses:  </w:t>
      </w:r>
      <w:hyperlink r:id="rId24" w:history="1">
        <w:r w:rsidRPr="0010586F">
          <w:rPr>
            <w:color w:val="0000FF"/>
            <w:u w:val="single"/>
          </w:rPr>
          <w:t>http://www.hmrc.gov.uk/paye/exb/a-z/i/incidentals.htm</w:t>
        </w:r>
      </w:hyperlink>
    </w:p>
    <w:p w:rsidR="00676A2E" w:rsidRDefault="00DD7CB4" w:rsidP="00DD7CB4">
      <w:pPr>
        <w:pStyle w:val="ListParagraph"/>
        <w:numPr>
          <w:ilvl w:val="1"/>
          <w:numId w:val="1"/>
        </w:numPr>
        <w:spacing w:after="0"/>
      </w:pPr>
      <w:r>
        <w:t xml:space="preserve">       </w:t>
      </w:r>
      <w:r w:rsidR="00061B03">
        <w:t xml:space="preserve">Bring </w:t>
      </w:r>
      <w:r>
        <w:t xml:space="preserve">forward </w:t>
      </w:r>
      <w:r w:rsidR="00243F7E">
        <w:t xml:space="preserve">future </w:t>
      </w:r>
      <w:r>
        <w:t xml:space="preserve">discretionary </w:t>
      </w:r>
      <w:r w:rsidR="00E615BD">
        <w:t xml:space="preserve">minor </w:t>
      </w:r>
      <w:r>
        <w:t xml:space="preserve">spends </w:t>
      </w:r>
      <w:r w:rsidR="00097292">
        <w:t>to</w:t>
      </w:r>
      <w:r w:rsidR="00061B03">
        <w:t xml:space="preserve"> before year end</w:t>
      </w:r>
      <w:r>
        <w:t>, inc</w:t>
      </w:r>
      <w:r w:rsidR="00061B03">
        <w:t>:</w:t>
      </w:r>
    </w:p>
    <w:p w:rsidR="00DD7CB4" w:rsidRDefault="00DD7CB4" w:rsidP="00DD7CB4">
      <w:pPr>
        <w:pStyle w:val="ListParagraph"/>
        <w:numPr>
          <w:ilvl w:val="0"/>
          <w:numId w:val="5"/>
        </w:numPr>
        <w:spacing w:after="0"/>
      </w:pPr>
      <w:r>
        <w:t>Repairs/renewals</w:t>
      </w:r>
    </w:p>
    <w:p w:rsidR="00DD7CB4" w:rsidRDefault="00890359" w:rsidP="00DD7CB4">
      <w:pPr>
        <w:pStyle w:val="ListParagraph"/>
        <w:numPr>
          <w:ilvl w:val="0"/>
          <w:numId w:val="5"/>
        </w:numPr>
        <w:spacing w:after="0"/>
      </w:pPr>
      <w:r>
        <w:t>Advertising/marketing</w:t>
      </w:r>
    </w:p>
    <w:p w:rsidR="00890359" w:rsidRDefault="00890359" w:rsidP="00DD7CB4">
      <w:pPr>
        <w:pStyle w:val="ListParagraph"/>
        <w:numPr>
          <w:ilvl w:val="0"/>
          <w:numId w:val="5"/>
        </w:numPr>
        <w:spacing w:after="0"/>
      </w:pPr>
      <w:r>
        <w:t>Product development</w:t>
      </w:r>
    </w:p>
    <w:p w:rsidR="00890359" w:rsidRDefault="00890359" w:rsidP="00DD7CB4">
      <w:pPr>
        <w:pStyle w:val="ListParagraph"/>
        <w:numPr>
          <w:ilvl w:val="0"/>
          <w:numId w:val="5"/>
        </w:numPr>
        <w:spacing w:after="0"/>
      </w:pPr>
      <w:r>
        <w:t>Training</w:t>
      </w:r>
    </w:p>
    <w:p w:rsidR="00890359" w:rsidRDefault="00890359" w:rsidP="00DD7CB4">
      <w:pPr>
        <w:pStyle w:val="ListParagraph"/>
        <w:numPr>
          <w:ilvl w:val="0"/>
          <w:numId w:val="5"/>
        </w:numPr>
        <w:spacing w:after="0"/>
      </w:pPr>
      <w:r>
        <w:t>Stationery/office supplies</w:t>
      </w:r>
    </w:p>
    <w:p w:rsidR="00890359" w:rsidRDefault="00890359" w:rsidP="00DD7CB4">
      <w:pPr>
        <w:pStyle w:val="ListParagraph"/>
        <w:numPr>
          <w:ilvl w:val="0"/>
          <w:numId w:val="5"/>
        </w:numPr>
        <w:spacing w:after="0"/>
      </w:pPr>
      <w:r>
        <w:t>Doubtful debts</w:t>
      </w:r>
    </w:p>
    <w:p w:rsidR="00EC5C26" w:rsidRDefault="00EC5C26" w:rsidP="00DD7CB4">
      <w:pPr>
        <w:pStyle w:val="ListParagraph"/>
        <w:numPr>
          <w:ilvl w:val="0"/>
          <w:numId w:val="5"/>
        </w:numPr>
        <w:spacing w:after="0"/>
      </w:pPr>
      <w:r>
        <w:t>Bonuses</w:t>
      </w:r>
    </w:p>
    <w:p w:rsidR="0028373F" w:rsidRDefault="00835224" w:rsidP="0028373F">
      <w:pPr>
        <w:pStyle w:val="ListParagraph"/>
        <w:numPr>
          <w:ilvl w:val="1"/>
          <w:numId w:val="1"/>
        </w:numPr>
        <w:spacing w:after="0"/>
      </w:pPr>
      <w:r>
        <w:t xml:space="preserve">       </w:t>
      </w:r>
      <w:r w:rsidR="005C1EE7">
        <w:t xml:space="preserve">Where able, and commercially acceptable, consider deferring revenue </w:t>
      </w:r>
      <w:r w:rsidR="0028373F">
        <w:t xml:space="preserve"> </w:t>
      </w:r>
      <w:r w:rsidR="005C1EE7">
        <w:t>until after</w:t>
      </w:r>
      <w:r w:rsidR="00446556">
        <w:t xml:space="preserve"> </w:t>
      </w:r>
      <w:r w:rsidR="005C1EE7">
        <w:t>year</w:t>
      </w:r>
    </w:p>
    <w:p w:rsidR="005C1EE7" w:rsidRDefault="0028373F" w:rsidP="0028373F">
      <w:pPr>
        <w:pStyle w:val="ListParagraph"/>
        <w:spacing w:after="0"/>
        <w:ind w:left="360" w:firstLine="360"/>
      </w:pPr>
      <w:r>
        <w:t>e</w:t>
      </w:r>
      <w:r w:rsidR="005C1EE7">
        <w:t>nd</w:t>
      </w:r>
      <w:r>
        <w:t>.</w:t>
      </w:r>
      <w:r w:rsidR="005C1EE7">
        <w:t xml:space="preserve"> </w:t>
      </w:r>
    </w:p>
    <w:p w:rsidR="00E615BD" w:rsidRDefault="005C1EE7" w:rsidP="005C1EE7">
      <w:pPr>
        <w:pStyle w:val="ListParagraph"/>
        <w:numPr>
          <w:ilvl w:val="1"/>
          <w:numId w:val="1"/>
        </w:numPr>
        <w:spacing w:after="0"/>
      </w:pPr>
      <w:r>
        <w:t xml:space="preserve">       </w:t>
      </w:r>
      <w:r w:rsidR="00E615BD">
        <w:t>Consider pre year end major discretionary spends:</w:t>
      </w:r>
    </w:p>
    <w:p w:rsidR="002C0BB7" w:rsidRDefault="001875AB" w:rsidP="001875AB">
      <w:pPr>
        <w:pStyle w:val="ListParagraph"/>
        <w:numPr>
          <w:ilvl w:val="0"/>
          <w:numId w:val="8"/>
        </w:numPr>
        <w:spacing w:after="0"/>
      </w:pPr>
      <w:r>
        <w:t xml:space="preserve">Capital items (100% </w:t>
      </w:r>
      <w:r w:rsidR="00A4136D">
        <w:t xml:space="preserve">relief in year </w:t>
      </w:r>
      <w:r>
        <w:t xml:space="preserve">of purchase </w:t>
      </w:r>
      <w:r w:rsidR="00A4136D">
        <w:t xml:space="preserve">on </w:t>
      </w:r>
      <w:r>
        <w:t>up to £250</w:t>
      </w:r>
      <w:r w:rsidR="00A4136D">
        <w:t>k</w:t>
      </w:r>
      <w:r>
        <w:t xml:space="preserve"> Plant &amp; Equipment</w:t>
      </w:r>
      <w:r w:rsidR="00A4136D">
        <w:t xml:space="preserve"> spend</w:t>
      </w:r>
      <w:r>
        <w:t>)</w:t>
      </w:r>
    </w:p>
    <w:p w:rsidR="001875AB" w:rsidRDefault="001875AB" w:rsidP="001875AB">
      <w:pPr>
        <w:pStyle w:val="ListParagraph"/>
        <w:numPr>
          <w:ilvl w:val="0"/>
          <w:numId w:val="8"/>
        </w:numPr>
        <w:spacing w:after="0"/>
      </w:pPr>
      <w:r>
        <w:lastRenderedPageBreak/>
        <w:t xml:space="preserve">Employer pension contributions (up to £50k per employee pa, plus </w:t>
      </w:r>
      <w:r w:rsidR="00C3117C">
        <w:t xml:space="preserve">any </w:t>
      </w:r>
      <w:r>
        <w:t>unused b</w:t>
      </w:r>
      <w:r w:rsidR="0068761C">
        <w:t xml:space="preserve">rought </w:t>
      </w:r>
      <w:r>
        <w:t>f</w:t>
      </w:r>
      <w:r w:rsidR="0068761C">
        <w:t>orward</w:t>
      </w:r>
      <w:r>
        <w:t xml:space="preserve"> relief from previous 3 tax years)</w:t>
      </w:r>
      <w:r w:rsidR="003F556D">
        <w:t>.</w:t>
      </w:r>
    </w:p>
    <w:p w:rsidR="00E15252" w:rsidRDefault="002C0BB7" w:rsidP="002C0BB7">
      <w:pPr>
        <w:pStyle w:val="ListParagraph"/>
        <w:numPr>
          <w:ilvl w:val="1"/>
          <w:numId w:val="1"/>
        </w:numPr>
        <w:spacing w:after="0"/>
      </w:pPr>
      <w:r>
        <w:t xml:space="preserve">       </w:t>
      </w:r>
      <w:r w:rsidR="00381E24">
        <w:t xml:space="preserve">Structure </w:t>
      </w:r>
      <w:r w:rsidR="00097292">
        <w:t xml:space="preserve">payment of </w:t>
      </w:r>
      <w:r w:rsidR="00381E24">
        <w:t>non</w:t>
      </w:r>
      <w:r w:rsidR="00B24D9D">
        <w:t>-</w:t>
      </w:r>
      <w:r w:rsidR="00381E24">
        <w:t xml:space="preserve">taxable benefits in kind </w:t>
      </w:r>
      <w:r w:rsidR="00E15252">
        <w:t>(absolutely or as salary sacrifice</w:t>
      </w:r>
    </w:p>
    <w:p w:rsidR="00381E24" w:rsidRDefault="00E15252" w:rsidP="00E15252">
      <w:pPr>
        <w:pStyle w:val="ListParagraph"/>
        <w:spacing w:after="0"/>
        <w:ind w:left="360" w:firstLine="360"/>
      </w:pPr>
      <w:r>
        <w:t xml:space="preserve">arrangements) </w:t>
      </w:r>
      <w:r w:rsidR="00381E24">
        <w:t>through the business, inc:</w:t>
      </w:r>
    </w:p>
    <w:p w:rsidR="00381E24" w:rsidRDefault="008F45B9" w:rsidP="00381E24">
      <w:pPr>
        <w:pStyle w:val="ListParagraph"/>
        <w:numPr>
          <w:ilvl w:val="0"/>
          <w:numId w:val="11"/>
        </w:numPr>
        <w:spacing w:after="0"/>
      </w:pPr>
      <w:r>
        <w:t>Life assurance (death in service)</w:t>
      </w:r>
    </w:p>
    <w:p w:rsidR="008F45B9" w:rsidRDefault="008F45B9" w:rsidP="00381E24">
      <w:pPr>
        <w:pStyle w:val="ListParagraph"/>
        <w:numPr>
          <w:ilvl w:val="0"/>
          <w:numId w:val="11"/>
        </w:numPr>
        <w:spacing w:after="0"/>
      </w:pPr>
      <w:r>
        <w:t>Childcare costs/vouchers (</w:t>
      </w:r>
      <w:r w:rsidR="00232FB7">
        <w:t xml:space="preserve">potentially </w:t>
      </w:r>
      <w:r>
        <w:t xml:space="preserve">up to </w:t>
      </w:r>
      <w:r w:rsidR="00B24D9D">
        <w:t>£55 pw)</w:t>
      </w:r>
    </w:p>
    <w:p w:rsidR="00B24D9D" w:rsidRDefault="00B24D9D" w:rsidP="00381E24">
      <w:pPr>
        <w:pStyle w:val="ListParagraph"/>
        <w:numPr>
          <w:ilvl w:val="0"/>
          <w:numId w:val="11"/>
        </w:numPr>
        <w:spacing w:after="0"/>
      </w:pPr>
      <w:r>
        <w:t>Christmas/annual party</w:t>
      </w:r>
    </w:p>
    <w:p w:rsidR="00B24D9D" w:rsidRDefault="00B24D9D" w:rsidP="00381E24">
      <w:pPr>
        <w:pStyle w:val="ListParagraph"/>
        <w:numPr>
          <w:ilvl w:val="0"/>
          <w:numId w:val="11"/>
        </w:numPr>
        <w:spacing w:after="0"/>
      </w:pPr>
      <w:r>
        <w:t xml:space="preserve">Mobile phone </w:t>
      </w:r>
      <w:r w:rsidR="00232FB7">
        <w:t>contract</w:t>
      </w:r>
    </w:p>
    <w:p w:rsidR="00B24D9D" w:rsidRDefault="00B24D9D" w:rsidP="00381E24">
      <w:pPr>
        <w:pStyle w:val="ListParagraph"/>
        <w:numPr>
          <w:ilvl w:val="0"/>
          <w:numId w:val="11"/>
        </w:numPr>
        <w:spacing w:after="0"/>
      </w:pPr>
      <w:r>
        <w:t>Interest free loans (up to £5k)</w:t>
      </w:r>
    </w:p>
    <w:p w:rsidR="00C23AFF" w:rsidRDefault="00381E24" w:rsidP="002C0BB7">
      <w:pPr>
        <w:pStyle w:val="ListParagraph"/>
        <w:numPr>
          <w:ilvl w:val="1"/>
          <w:numId w:val="1"/>
        </w:numPr>
        <w:spacing w:after="0"/>
      </w:pPr>
      <w:r>
        <w:t xml:space="preserve">       </w:t>
      </w:r>
      <w:r w:rsidR="00B21633">
        <w:t>Optimise remuneration structure:</w:t>
      </w:r>
    </w:p>
    <w:p w:rsidR="00B21633" w:rsidRDefault="00A23775" w:rsidP="00B21633">
      <w:pPr>
        <w:pStyle w:val="ListParagraph"/>
        <w:numPr>
          <w:ilvl w:val="0"/>
          <w:numId w:val="9"/>
        </w:numPr>
        <w:spacing w:after="0"/>
      </w:pPr>
      <w:r>
        <w:t xml:space="preserve">Pay ‘minimum’ salary to yourself, between </w:t>
      </w:r>
      <w:r w:rsidR="004F1C61">
        <w:t>the Lower Earnings Limit (£5,668 pa) and the Secondary Threshold (£7,696</w:t>
      </w:r>
      <w:r w:rsidR="0068761C">
        <w:t xml:space="preserve"> pa</w:t>
      </w:r>
      <w:r w:rsidR="004F1C61">
        <w:t>), to pay Nil PAYE or NIC whilst still earning a state pension credit for the year.</w:t>
      </w:r>
      <w:r w:rsidR="0068761C">
        <w:t xml:space="preserve"> Say £7,600.</w:t>
      </w:r>
    </w:p>
    <w:p w:rsidR="0068761C" w:rsidRDefault="003B4C65" w:rsidP="00B21633">
      <w:pPr>
        <w:pStyle w:val="ListParagraph"/>
        <w:numPr>
          <w:ilvl w:val="0"/>
          <w:numId w:val="9"/>
        </w:numPr>
        <w:spacing w:after="0"/>
      </w:pPr>
      <w:r>
        <w:t xml:space="preserve">Assuming no other personal taxable income, </w:t>
      </w:r>
      <w:r w:rsidR="00381564">
        <w:t xml:space="preserve">you to </w:t>
      </w:r>
      <w:r>
        <w:t>e</w:t>
      </w:r>
      <w:r w:rsidR="0068761C">
        <w:t>xtract</w:t>
      </w:r>
      <w:r>
        <w:t xml:space="preserve"> net cash dividends up to £30,465 (£33,850 gross), effectively tax free.</w:t>
      </w:r>
    </w:p>
    <w:p w:rsidR="00381564" w:rsidRDefault="00381564" w:rsidP="00B21633">
      <w:pPr>
        <w:pStyle w:val="ListParagraph"/>
        <w:numPr>
          <w:ilvl w:val="0"/>
          <w:numId w:val="9"/>
        </w:numPr>
        <w:spacing w:after="0"/>
      </w:pPr>
      <w:r>
        <w:t>Extra income required to be taken as further dividends (note: income tax at approximately 25% of this amount extract will become due personally).</w:t>
      </w:r>
      <w:r w:rsidR="00AF1D39">
        <w:t xml:space="preserve"> Try to keep total personal gross income below the £100k threshold </w:t>
      </w:r>
      <w:r w:rsidR="009F62F4">
        <w:t>above which</w:t>
      </w:r>
      <w:r w:rsidR="00AF1D39">
        <w:t xml:space="preserve"> the marginal income tax rate is temporarily 60%. </w:t>
      </w:r>
      <w:r w:rsidR="000C3490">
        <w:t xml:space="preserve"> So total dividends should not exceed £</w:t>
      </w:r>
      <w:r w:rsidR="009712A6">
        <w:t>83,160 per individual.</w:t>
      </w:r>
    </w:p>
    <w:p w:rsidR="00F77B9B" w:rsidRDefault="00F77B9B" w:rsidP="00B21633">
      <w:pPr>
        <w:pStyle w:val="ListParagraph"/>
        <w:numPr>
          <w:ilvl w:val="0"/>
          <w:numId w:val="9"/>
        </w:numPr>
        <w:spacing w:after="0"/>
      </w:pPr>
      <w:r>
        <w:t>Income shifting:</w:t>
      </w:r>
    </w:p>
    <w:p w:rsidR="00F77B9B" w:rsidRDefault="00F77B9B" w:rsidP="00F77B9B">
      <w:pPr>
        <w:pStyle w:val="ListParagraph"/>
        <w:numPr>
          <w:ilvl w:val="1"/>
          <w:numId w:val="9"/>
        </w:numPr>
        <w:spacing w:after="0"/>
      </w:pPr>
      <w:r>
        <w:t>Assuming justified by involvement in business, pay ‘minimum’ salary to spouse, between the Lower Earnings Limit (£5,668 pa) and the Secondary Threshold (£7,696 pa), to pay Nil PAYE or NIC whilst still earning a state pension credit for the year. Say £7,600.</w:t>
      </w:r>
    </w:p>
    <w:p w:rsidR="00F77B9B" w:rsidRDefault="00F77B9B" w:rsidP="00F77B9B">
      <w:pPr>
        <w:pStyle w:val="ListParagraph"/>
        <w:numPr>
          <w:ilvl w:val="1"/>
          <w:numId w:val="9"/>
        </w:numPr>
        <w:spacing w:after="0"/>
      </w:pPr>
      <w:r>
        <w:t>Assuming spouse has no other personal taxable income, and justified by involvement in business, spouse to extract net cash dividends up to £30,465 (£33,850 gross), effectively tax free.</w:t>
      </w:r>
    </w:p>
    <w:p w:rsidR="00F77B9B" w:rsidRDefault="00F77B9B" w:rsidP="00F77B9B">
      <w:pPr>
        <w:pStyle w:val="ListParagraph"/>
        <w:numPr>
          <w:ilvl w:val="1"/>
          <w:numId w:val="9"/>
        </w:numPr>
        <w:spacing w:after="0"/>
      </w:pPr>
      <w:r>
        <w:t>Assuming no other personal taxable income, and justified by involvement in business, pay ‘minimum’ salary to other family members (children ?), between the Lower Earnings Limit (£5,668 pa) and the Secondary Threshold (£7,696 pa), to pay Nil PAYE or NIC whilst still earning a state pension credit for the year. Say £7,600.</w:t>
      </w:r>
    </w:p>
    <w:p w:rsidR="00F77B9B" w:rsidRDefault="00F77B9B" w:rsidP="00F77B9B">
      <w:pPr>
        <w:pStyle w:val="ListParagraph"/>
        <w:numPr>
          <w:ilvl w:val="0"/>
          <w:numId w:val="9"/>
        </w:numPr>
        <w:spacing w:after="0"/>
      </w:pPr>
      <w:r>
        <w:t>Profit retention, to avoid double tax charge (company &amp; personal):</w:t>
      </w:r>
    </w:p>
    <w:p w:rsidR="00F77B9B" w:rsidRDefault="00F77B9B" w:rsidP="00F77B9B">
      <w:pPr>
        <w:pStyle w:val="ListParagraph"/>
        <w:numPr>
          <w:ilvl w:val="1"/>
          <w:numId w:val="9"/>
        </w:numPr>
        <w:spacing w:after="0"/>
      </w:pPr>
      <w:r>
        <w:t>If business exit (liquidation or sale) imminent, consider leaving profits in business, to extract more tax efficiently as a capital transaction upon exit.</w:t>
      </w:r>
    </w:p>
    <w:p w:rsidR="00F77B9B" w:rsidRDefault="00F77B9B" w:rsidP="00F77B9B">
      <w:pPr>
        <w:pStyle w:val="ListParagraph"/>
        <w:numPr>
          <w:ilvl w:val="1"/>
          <w:numId w:val="9"/>
        </w:numPr>
        <w:spacing w:after="0"/>
      </w:pPr>
      <w:r>
        <w:t>Retain balance of profits in company until personal tax status improves.</w:t>
      </w:r>
    </w:p>
    <w:p w:rsidR="00A64930" w:rsidRDefault="00A64930" w:rsidP="00C23AFF">
      <w:pPr>
        <w:pStyle w:val="ListParagraph"/>
        <w:numPr>
          <w:ilvl w:val="1"/>
          <w:numId w:val="1"/>
        </w:numPr>
        <w:spacing w:after="0"/>
      </w:pPr>
      <w:r>
        <w:t>Vehicle:</w:t>
      </w:r>
    </w:p>
    <w:p w:rsidR="00A64930" w:rsidRDefault="00EC4A4B" w:rsidP="00A64930">
      <w:pPr>
        <w:pStyle w:val="ListParagraph"/>
        <w:numPr>
          <w:ilvl w:val="0"/>
          <w:numId w:val="9"/>
        </w:numPr>
        <w:spacing w:after="0"/>
      </w:pPr>
      <w:r>
        <w:t xml:space="preserve">Calculate whether it is </w:t>
      </w:r>
      <w:r w:rsidR="00C6064D">
        <w:t>more tax efficient</w:t>
      </w:r>
      <w:r>
        <w:t xml:space="preserve"> or own and expense a </w:t>
      </w:r>
      <w:r w:rsidR="001C3AED">
        <w:t>vehicle</w:t>
      </w:r>
      <w:r>
        <w:t xml:space="preserve"> within or outside</w:t>
      </w:r>
    </w:p>
    <w:p w:rsidR="00A64930" w:rsidRDefault="00EC4A4B" w:rsidP="00A64930">
      <w:pPr>
        <w:spacing w:after="0"/>
        <w:ind w:left="360" w:firstLine="720"/>
      </w:pPr>
      <w:r>
        <w:t>of the</w:t>
      </w:r>
      <w:r w:rsidR="00A64930">
        <w:t xml:space="preserve"> </w:t>
      </w:r>
      <w:r>
        <w:t>business.</w:t>
      </w:r>
    </w:p>
    <w:p w:rsidR="00A64930" w:rsidRDefault="00DC3B64" w:rsidP="00A64930">
      <w:pPr>
        <w:pStyle w:val="ListParagraph"/>
        <w:numPr>
          <w:ilvl w:val="0"/>
          <w:numId w:val="9"/>
        </w:numPr>
        <w:spacing w:after="0"/>
      </w:pPr>
      <w:r>
        <w:lastRenderedPageBreak/>
        <w:t>Consider whether a tax efficient vehicle (low emission</w:t>
      </w:r>
      <w:r w:rsidR="001C3AED">
        <w:t xml:space="preserve"> car</w:t>
      </w:r>
      <w:r>
        <w:t xml:space="preserve"> or twin cab pick-up) is a</w:t>
      </w:r>
      <w:r w:rsidR="001C3AED">
        <w:t xml:space="preserve"> better solution</w:t>
      </w:r>
      <w:r>
        <w:t>.</w:t>
      </w:r>
    </w:p>
    <w:p w:rsidR="008455B9" w:rsidRDefault="008455B9" w:rsidP="00C23AFF">
      <w:pPr>
        <w:pStyle w:val="ListParagraph"/>
        <w:numPr>
          <w:ilvl w:val="1"/>
          <w:numId w:val="1"/>
        </w:numPr>
        <w:spacing w:after="0"/>
      </w:pPr>
      <w:r>
        <w:t>Consider creating a contractual or constructive obligation for bonuses paid after the year</w:t>
      </w:r>
    </w:p>
    <w:p w:rsidR="008455B9" w:rsidRDefault="008455B9" w:rsidP="008455B9">
      <w:pPr>
        <w:pStyle w:val="ListParagraph"/>
        <w:spacing w:after="0"/>
        <w:ind w:left="360" w:firstLine="360"/>
      </w:pPr>
      <w:r>
        <w:t>end (within 9 months of year end) to be eligible to be carried back for tax deduction</w:t>
      </w:r>
    </w:p>
    <w:p w:rsidR="008D354A" w:rsidRDefault="008455B9" w:rsidP="008455B9">
      <w:pPr>
        <w:pStyle w:val="ListParagraph"/>
        <w:spacing w:after="0"/>
        <w:ind w:left="360" w:firstLine="360"/>
      </w:pPr>
      <w:r>
        <w:t xml:space="preserve">purposes. </w:t>
      </w:r>
    </w:p>
    <w:p w:rsidR="00F131B4" w:rsidRDefault="00F131B4" w:rsidP="00E424A0">
      <w:pPr>
        <w:pStyle w:val="ListParagraph"/>
        <w:numPr>
          <w:ilvl w:val="1"/>
          <w:numId w:val="1"/>
        </w:numPr>
        <w:spacing w:after="0"/>
      </w:pPr>
      <w:r>
        <w:t>Where a high percentage of service income is derived from 1 client, s</w:t>
      </w:r>
      <w:r w:rsidR="00334D6E">
        <w:t>tructure contracts and</w:t>
      </w:r>
    </w:p>
    <w:p w:rsidR="00D72654" w:rsidRDefault="00334D6E" w:rsidP="00D72654">
      <w:pPr>
        <w:pStyle w:val="ListParagraph"/>
        <w:spacing w:after="0"/>
        <w:ind w:left="360" w:firstLine="360"/>
      </w:pPr>
      <w:r>
        <w:t>work practices to stay outside of IR35 tax rules.</w:t>
      </w:r>
    </w:p>
    <w:p w:rsidR="00D72654" w:rsidRDefault="00D72654" w:rsidP="00D72654">
      <w:pPr>
        <w:pStyle w:val="ListParagraph"/>
        <w:numPr>
          <w:ilvl w:val="1"/>
          <w:numId w:val="1"/>
        </w:numPr>
        <w:spacing w:after="0"/>
      </w:pPr>
      <w:r>
        <w:t>Prepare accounts using accounting policies that delay taxable profit recognition, inc:</w:t>
      </w:r>
    </w:p>
    <w:p w:rsidR="00D72654" w:rsidRDefault="00D72654" w:rsidP="00D72654">
      <w:pPr>
        <w:pStyle w:val="ListParagraph"/>
        <w:numPr>
          <w:ilvl w:val="0"/>
          <w:numId w:val="9"/>
        </w:numPr>
        <w:spacing w:after="0"/>
      </w:pPr>
      <w:r>
        <w:t>Revenue recognition</w:t>
      </w:r>
    </w:p>
    <w:p w:rsidR="00D72654" w:rsidRDefault="00D72654" w:rsidP="00D72654">
      <w:pPr>
        <w:pStyle w:val="ListParagraph"/>
        <w:numPr>
          <w:ilvl w:val="0"/>
          <w:numId w:val="9"/>
        </w:numPr>
        <w:spacing w:after="0"/>
      </w:pPr>
      <w:r>
        <w:t>Long term contracts</w:t>
      </w:r>
    </w:p>
    <w:p w:rsidR="00D72654" w:rsidRDefault="00D72654" w:rsidP="00D72654">
      <w:pPr>
        <w:pStyle w:val="ListParagraph"/>
        <w:numPr>
          <w:ilvl w:val="0"/>
          <w:numId w:val="9"/>
        </w:numPr>
        <w:spacing w:after="0"/>
      </w:pPr>
      <w:r>
        <w:t>Intangible asset amortisation</w:t>
      </w:r>
    </w:p>
    <w:p w:rsidR="00D72654" w:rsidRDefault="00D72654" w:rsidP="00D72654">
      <w:pPr>
        <w:pStyle w:val="ListParagraph"/>
        <w:numPr>
          <w:ilvl w:val="0"/>
          <w:numId w:val="9"/>
        </w:numPr>
        <w:spacing w:after="0"/>
      </w:pPr>
      <w:r>
        <w:t>Stock</w:t>
      </w:r>
    </w:p>
    <w:p w:rsidR="009130B0" w:rsidRDefault="009130B0" w:rsidP="00D72654">
      <w:pPr>
        <w:pStyle w:val="ListParagraph"/>
        <w:numPr>
          <w:ilvl w:val="0"/>
          <w:numId w:val="9"/>
        </w:numPr>
        <w:spacing w:after="0"/>
      </w:pPr>
      <w:r>
        <w:t>Doubtful debts</w:t>
      </w:r>
    </w:p>
    <w:p w:rsidR="009130B0" w:rsidRDefault="009130B0" w:rsidP="00D72654">
      <w:pPr>
        <w:pStyle w:val="ListParagraph"/>
        <w:numPr>
          <w:ilvl w:val="0"/>
          <w:numId w:val="9"/>
        </w:numPr>
        <w:spacing w:after="0"/>
      </w:pPr>
      <w:r>
        <w:t>Finance leases and hire purchase</w:t>
      </w:r>
    </w:p>
    <w:p w:rsidR="00E15252" w:rsidRDefault="00E15252" w:rsidP="00D72654">
      <w:pPr>
        <w:pStyle w:val="ListParagraph"/>
        <w:numPr>
          <w:ilvl w:val="0"/>
          <w:numId w:val="9"/>
        </w:numPr>
        <w:spacing w:after="0"/>
      </w:pPr>
      <w:r>
        <w:t>Provisions</w:t>
      </w:r>
    </w:p>
    <w:p w:rsidR="003F556D" w:rsidRDefault="003F556D" w:rsidP="00D72654">
      <w:pPr>
        <w:pStyle w:val="ListParagraph"/>
        <w:numPr>
          <w:ilvl w:val="1"/>
          <w:numId w:val="1"/>
        </w:numPr>
        <w:spacing w:after="0"/>
      </w:pPr>
      <w:r>
        <w:t>Structure arrangements, remuneration and contracts so as able to c</w:t>
      </w:r>
      <w:r w:rsidR="00E424A0">
        <w:t>laim 225% R&amp;D tax relief</w:t>
      </w:r>
    </w:p>
    <w:p w:rsidR="00D72654" w:rsidRDefault="00E424A0" w:rsidP="003F556D">
      <w:pPr>
        <w:pStyle w:val="ListParagraph"/>
        <w:spacing w:after="0"/>
        <w:ind w:left="360" w:firstLine="360"/>
      </w:pPr>
      <w:r>
        <w:t xml:space="preserve">on maximum eligible product or service development costs. </w:t>
      </w:r>
    </w:p>
    <w:p w:rsidR="002C18D9" w:rsidRDefault="00110AE6" w:rsidP="00D72654">
      <w:pPr>
        <w:pStyle w:val="ListParagraph"/>
        <w:numPr>
          <w:ilvl w:val="1"/>
          <w:numId w:val="1"/>
        </w:numPr>
        <w:spacing w:after="0"/>
      </w:pPr>
      <w:r>
        <w:t xml:space="preserve">For </w:t>
      </w:r>
      <w:r w:rsidR="002C18D9">
        <w:t>B2C business</w:t>
      </w:r>
      <w:r>
        <w:t>es</w:t>
      </w:r>
      <w:r w:rsidR="002C18D9">
        <w:t xml:space="preserve">, consider avoiding or delaying </w:t>
      </w:r>
      <w:r>
        <w:t xml:space="preserve">compulsory </w:t>
      </w:r>
      <w:r w:rsidR="002C18D9">
        <w:t>VAT registration.</w:t>
      </w:r>
    </w:p>
    <w:p w:rsidR="002C18D9" w:rsidRDefault="00110AE6" w:rsidP="002C18D9">
      <w:pPr>
        <w:pStyle w:val="ListParagraph"/>
        <w:numPr>
          <w:ilvl w:val="1"/>
          <w:numId w:val="1"/>
        </w:numPr>
        <w:spacing w:after="0"/>
      </w:pPr>
      <w:r>
        <w:t>For</w:t>
      </w:r>
      <w:r w:rsidR="002C18D9">
        <w:t xml:space="preserve"> B2B business</w:t>
      </w:r>
      <w:r>
        <w:t>es</w:t>
      </w:r>
      <w:r w:rsidR="002C18D9">
        <w:t xml:space="preserve">, consider </w:t>
      </w:r>
      <w:r>
        <w:t xml:space="preserve">voluntarily </w:t>
      </w:r>
      <w:r w:rsidR="002C18D9">
        <w:t>VAT registering ASAP, to recover VAT on costs.</w:t>
      </w:r>
    </w:p>
    <w:p w:rsidR="005E685C" w:rsidRDefault="005E685C" w:rsidP="002C18D9">
      <w:pPr>
        <w:pStyle w:val="ListParagraph"/>
        <w:numPr>
          <w:ilvl w:val="1"/>
          <w:numId w:val="1"/>
        </w:numPr>
        <w:spacing w:after="0"/>
      </w:pPr>
      <w:r>
        <w:t xml:space="preserve">If turnover is &lt; £150k, consider whether a ‘VAT Profit’ could be </w:t>
      </w:r>
      <w:r w:rsidR="00DC67C1">
        <w:t>created</w:t>
      </w:r>
      <w:r>
        <w:t xml:space="preserve"> by completing VAT</w:t>
      </w:r>
    </w:p>
    <w:p w:rsidR="005E685C" w:rsidRDefault="005E685C" w:rsidP="00872E1F">
      <w:pPr>
        <w:spacing w:after="0"/>
        <w:ind w:firstLine="720"/>
      </w:pPr>
      <w:r>
        <w:t>returns using the VAT Flat Rate Scheme.</w:t>
      </w:r>
    </w:p>
    <w:p w:rsidR="00DC67C1" w:rsidRDefault="00872E1F" w:rsidP="00872E1F">
      <w:pPr>
        <w:pStyle w:val="ListParagraph"/>
        <w:numPr>
          <w:ilvl w:val="1"/>
          <w:numId w:val="1"/>
        </w:numPr>
        <w:spacing w:after="0"/>
      </w:pPr>
      <w:r>
        <w:t xml:space="preserve">If profits are of sufficient size and you </w:t>
      </w:r>
      <w:r w:rsidR="00DC67C1">
        <w:t xml:space="preserve">have an appetite </w:t>
      </w:r>
      <w:r w:rsidR="002836E6">
        <w:t>f</w:t>
      </w:r>
      <w:r w:rsidR="00DC67C1">
        <w:t xml:space="preserve">or the associated </w:t>
      </w:r>
      <w:r>
        <w:t>risks, consider</w:t>
      </w:r>
    </w:p>
    <w:p w:rsidR="00872E1F" w:rsidRDefault="00872E1F" w:rsidP="00DC67C1">
      <w:pPr>
        <w:pStyle w:val="ListParagraph"/>
        <w:spacing w:after="0"/>
        <w:ind w:left="360" w:firstLine="360"/>
      </w:pPr>
      <w:r>
        <w:t>purchasing a marketed</w:t>
      </w:r>
      <w:r w:rsidR="00DC67C1">
        <w:t xml:space="preserve"> </w:t>
      </w:r>
      <w:r>
        <w:t>tax scheme.</w:t>
      </w:r>
    </w:p>
    <w:p w:rsidR="002E4DAF" w:rsidRDefault="002E4DAF" w:rsidP="00A13035">
      <w:pPr>
        <w:spacing w:after="0"/>
        <w:rPr>
          <w:b/>
          <w:sz w:val="26"/>
          <w:szCs w:val="26"/>
        </w:rPr>
      </w:pPr>
    </w:p>
    <w:p w:rsidR="00A13035" w:rsidRPr="00A13035" w:rsidRDefault="00A13035" w:rsidP="00A13035">
      <w:pPr>
        <w:spacing w:after="0"/>
        <w:rPr>
          <w:b/>
          <w:sz w:val="26"/>
          <w:szCs w:val="26"/>
        </w:rPr>
      </w:pPr>
      <w:r w:rsidRPr="00A13035">
        <w:rPr>
          <w:b/>
          <w:sz w:val="26"/>
          <w:szCs w:val="26"/>
        </w:rPr>
        <w:t xml:space="preserve">Tax </w:t>
      </w:r>
      <w:r>
        <w:rPr>
          <w:b/>
          <w:sz w:val="26"/>
          <w:szCs w:val="26"/>
        </w:rPr>
        <w:t>Administration</w:t>
      </w:r>
    </w:p>
    <w:p w:rsidR="002E4DAF" w:rsidRDefault="002E4DAF" w:rsidP="008229D6">
      <w:pPr>
        <w:spacing w:after="0"/>
      </w:pPr>
    </w:p>
    <w:p w:rsidR="008229D6" w:rsidRDefault="008229D6" w:rsidP="008229D6">
      <w:pPr>
        <w:spacing w:after="0"/>
      </w:pPr>
      <w:r>
        <w:t>2.1</w:t>
      </w:r>
      <w:r>
        <w:tab/>
        <w:t>Company self-assessment tax return needs completing and submitting to HMRC</w:t>
      </w:r>
    </w:p>
    <w:p w:rsidR="008229D6" w:rsidRDefault="008229D6" w:rsidP="008229D6">
      <w:pPr>
        <w:spacing w:after="0"/>
        <w:ind w:left="720"/>
      </w:pPr>
      <w:r>
        <w:t xml:space="preserve">electronically </w:t>
      </w:r>
      <w:r w:rsidR="00347072">
        <w:t>by</w:t>
      </w:r>
      <w:r>
        <w:t xml:space="preserve"> 12 months after the year end.  Best for us to undertake this work between </w:t>
      </w:r>
      <w:r w:rsidR="00347072">
        <w:t>year end + 1 month and year end + 5 months</w:t>
      </w:r>
      <w:r>
        <w:t xml:space="preserve">, giving you plenty of notice of </w:t>
      </w:r>
      <w:r w:rsidR="00347072">
        <w:t xml:space="preserve">corporation </w:t>
      </w:r>
      <w:r>
        <w:t>tax amount due.</w:t>
      </w:r>
    </w:p>
    <w:p w:rsidR="00C062EA" w:rsidRDefault="005C3F31" w:rsidP="005C3F31">
      <w:pPr>
        <w:pStyle w:val="ListParagraph"/>
        <w:numPr>
          <w:ilvl w:val="1"/>
          <w:numId w:val="13"/>
        </w:numPr>
        <w:spacing w:after="0"/>
      </w:pPr>
      <w:r>
        <w:t xml:space="preserve">       If no </w:t>
      </w:r>
      <w:r w:rsidR="00C062EA">
        <w:t xml:space="preserve">extra </w:t>
      </w:r>
      <w:r w:rsidR="000C5549">
        <w:t xml:space="preserve">income or capital gains </w:t>
      </w:r>
      <w:r>
        <w:t xml:space="preserve">tax </w:t>
      </w:r>
      <w:r w:rsidR="000C5549">
        <w:t xml:space="preserve">is </w:t>
      </w:r>
      <w:r>
        <w:t xml:space="preserve">due, keep out of </w:t>
      </w:r>
      <w:r w:rsidR="000C5549">
        <w:t xml:space="preserve">personally </w:t>
      </w:r>
      <w:r w:rsidR="00C3059E">
        <w:t xml:space="preserve">registering for </w:t>
      </w:r>
      <w:r>
        <w:t>self</w:t>
      </w:r>
    </w:p>
    <w:p w:rsidR="005C3F31" w:rsidRDefault="005C3F31" w:rsidP="00C062EA">
      <w:pPr>
        <w:pStyle w:val="ListParagraph"/>
        <w:spacing w:after="0"/>
        <w:ind w:left="360" w:firstLine="360"/>
      </w:pPr>
      <w:r>
        <w:t>-assessment</w:t>
      </w:r>
      <w:r w:rsidR="00C062EA">
        <w:t xml:space="preserve"> </w:t>
      </w:r>
      <w:r>
        <w:t>tax system as long as</w:t>
      </w:r>
      <w:r w:rsidR="000C5549">
        <w:t xml:space="preserve"> </w:t>
      </w:r>
      <w:r>
        <w:t>possible.</w:t>
      </w:r>
    </w:p>
    <w:p w:rsidR="003B23F4" w:rsidRDefault="005C3F31" w:rsidP="005C3F31">
      <w:pPr>
        <w:pStyle w:val="ListParagraph"/>
        <w:numPr>
          <w:ilvl w:val="1"/>
          <w:numId w:val="13"/>
        </w:numPr>
        <w:spacing w:after="0"/>
      </w:pPr>
      <w:r>
        <w:t xml:space="preserve"> </w:t>
      </w:r>
      <w:r>
        <w:tab/>
      </w:r>
      <w:r w:rsidR="003B23F4">
        <w:t>If registered</w:t>
      </w:r>
      <w:r w:rsidR="00C062EA">
        <w:t>,</w:t>
      </w:r>
      <w:r w:rsidR="003B23F4">
        <w:t xml:space="preserve"> p</w:t>
      </w:r>
      <w:r w:rsidR="002A5D29">
        <w:t>ersonal self-assessment tax return needs completing and submitting to HMRC</w:t>
      </w:r>
    </w:p>
    <w:p w:rsidR="002A5D29" w:rsidRDefault="002A5D29" w:rsidP="003B23F4">
      <w:pPr>
        <w:pStyle w:val="ListParagraph"/>
        <w:spacing w:after="0"/>
        <w:ind w:left="360" w:firstLine="360"/>
      </w:pPr>
      <w:r>
        <w:t>by:</w:t>
      </w:r>
    </w:p>
    <w:p w:rsidR="00A13035" w:rsidRDefault="002A5D29" w:rsidP="002A5D29">
      <w:pPr>
        <w:pStyle w:val="ListParagraph"/>
        <w:numPr>
          <w:ilvl w:val="0"/>
          <w:numId w:val="4"/>
        </w:numPr>
        <w:spacing w:after="0"/>
      </w:pPr>
      <w:r>
        <w:t>31</w:t>
      </w:r>
      <w:r w:rsidR="00C85B91" w:rsidRPr="00C85B91">
        <w:rPr>
          <w:vertAlign w:val="superscript"/>
        </w:rPr>
        <w:t>st</w:t>
      </w:r>
      <w:r w:rsidR="00C85B91">
        <w:t xml:space="preserve"> </w:t>
      </w:r>
      <w:r>
        <w:t>October following 5</w:t>
      </w:r>
      <w:r w:rsidR="00C85B91" w:rsidRPr="00C85B91">
        <w:rPr>
          <w:vertAlign w:val="superscript"/>
        </w:rPr>
        <w:t>th</w:t>
      </w:r>
      <w:r w:rsidR="00C85B91">
        <w:t xml:space="preserve"> </w:t>
      </w:r>
      <w:r>
        <w:t>April following year end (if paper version)</w:t>
      </w:r>
    </w:p>
    <w:p w:rsidR="002A5D29" w:rsidRDefault="002A5D29" w:rsidP="002A5D29">
      <w:pPr>
        <w:pStyle w:val="ListParagraph"/>
        <w:numPr>
          <w:ilvl w:val="0"/>
          <w:numId w:val="4"/>
        </w:numPr>
        <w:spacing w:after="0"/>
      </w:pPr>
      <w:r>
        <w:t>31</w:t>
      </w:r>
      <w:r w:rsidR="00C85B91" w:rsidRPr="00C85B91">
        <w:rPr>
          <w:vertAlign w:val="superscript"/>
        </w:rPr>
        <w:t>st</w:t>
      </w:r>
      <w:r w:rsidR="00C85B91">
        <w:t xml:space="preserve"> </w:t>
      </w:r>
      <w:r>
        <w:t>January following 5</w:t>
      </w:r>
      <w:r w:rsidR="00C85B91" w:rsidRPr="00C85B91">
        <w:rPr>
          <w:vertAlign w:val="superscript"/>
        </w:rPr>
        <w:t>th</w:t>
      </w:r>
      <w:r w:rsidR="00C85B91">
        <w:t xml:space="preserve"> </w:t>
      </w:r>
      <w:r>
        <w:t>April following year end (if electronic version)</w:t>
      </w:r>
    </w:p>
    <w:p w:rsidR="002A5D29" w:rsidRDefault="00DD4160" w:rsidP="005E1EF5">
      <w:pPr>
        <w:spacing w:after="0"/>
        <w:ind w:left="720"/>
      </w:pPr>
      <w:r>
        <w:t>Best for us to undertake this work between 5</w:t>
      </w:r>
      <w:r w:rsidRPr="00DD4160">
        <w:rPr>
          <w:vertAlign w:val="superscript"/>
        </w:rPr>
        <w:t>th</w:t>
      </w:r>
      <w:r>
        <w:t xml:space="preserve"> April and 30 September, </w:t>
      </w:r>
      <w:r w:rsidR="005E1EF5">
        <w:t xml:space="preserve">by electronic means, </w:t>
      </w:r>
      <w:r>
        <w:t xml:space="preserve">giving you plenty of notice of </w:t>
      </w:r>
      <w:r w:rsidR="00347072">
        <w:t xml:space="preserve">income </w:t>
      </w:r>
      <w:r>
        <w:t>tax amount due the following 31</w:t>
      </w:r>
      <w:r w:rsidRPr="00DD4160">
        <w:rPr>
          <w:vertAlign w:val="superscript"/>
        </w:rPr>
        <w:t>st</w:t>
      </w:r>
      <w:r>
        <w:t xml:space="preserve"> January.</w:t>
      </w:r>
    </w:p>
    <w:p w:rsidR="00C062EA" w:rsidRDefault="00CB2835" w:rsidP="00CB2835">
      <w:pPr>
        <w:pStyle w:val="ListParagraph"/>
        <w:numPr>
          <w:ilvl w:val="1"/>
          <w:numId w:val="13"/>
        </w:numPr>
        <w:spacing w:after="0"/>
      </w:pPr>
      <w:r>
        <w:t xml:space="preserve">       Consider insuring against the risk of a </w:t>
      </w:r>
      <w:r w:rsidR="00C062EA">
        <w:t xml:space="preserve">company &amp; personal </w:t>
      </w:r>
      <w:r>
        <w:t>tax enquiry by taking out fee</w:t>
      </w:r>
    </w:p>
    <w:p w:rsidR="00CB2835" w:rsidRDefault="00CB2835" w:rsidP="00C062EA">
      <w:pPr>
        <w:pStyle w:val="ListParagraph"/>
        <w:spacing w:after="0"/>
        <w:ind w:left="360" w:firstLine="360"/>
      </w:pPr>
      <w:r>
        <w:t>protection insurance</w:t>
      </w:r>
      <w:r w:rsidR="00C062EA">
        <w:t xml:space="preserve"> </w:t>
      </w:r>
      <w:r>
        <w:t>before return is submitted.</w:t>
      </w:r>
    </w:p>
    <w:p w:rsidR="002E4DAF" w:rsidRDefault="002E4DAF" w:rsidP="00A13035">
      <w:pPr>
        <w:spacing w:after="0"/>
        <w:rPr>
          <w:b/>
          <w:sz w:val="26"/>
          <w:szCs w:val="26"/>
        </w:rPr>
      </w:pPr>
    </w:p>
    <w:p w:rsidR="00A13035" w:rsidRDefault="00A13035" w:rsidP="00A13035">
      <w:pPr>
        <w:spacing w:after="0"/>
        <w:rPr>
          <w:b/>
          <w:sz w:val="26"/>
          <w:szCs w:val="26"/>
        </w:rPr>
      </w:pPr>
      <w:r w:rsidRPr="00A13035">
        <w:rPr>
          <w:b/>
          <w:sz w:val="26"/>
          <w:szCs w:val="26"/>
        </w:rPr>
        <w:t xml:space="preserve">Tax </w:t>
      </w:r>
      <w:r w:rsidR="00A54496">
        <w:rPr>
          <w:b/>
          <w:sz w:val="26"/>
          <w:szCs w:val="26"/>
        </w:rPr>
        <w:t>Payment</w:t>
      </w:r>
      <w:r w:rsidR="00871519">
        <w:rPr>
          <w:b/>
          <w:sz w:val="26"/>
          <w:szCs w:val="26"/>
        </w:rPr>
        <w:t>s</w:t>
      </w:r>
    </w:p>
    <w:p w:rsidR="002E4DAF" w:rsidRPr="00A13035" w:rsidRDefault="002E4DAF" w:rsidP="00A13035">
      <w:pPr>
        <w:spacing w:after="0"/>
        <w:rPr>
          <w:b/>
          <w:sz w:val="26"/>
          <w:szCs w:val="26"/>
        </w:rPr>
      </w:pPr>
    </w:p>
    <w:p w:rsidR="003E32AC" w:rsidRDefault="003E32AC" w:rsidP="003E32AC">
      <w:pPr>
        <w:pStyle w:val="ListParagraph"/>
        <w:numPr>
          <w:ilvl w:val="1"/>
          <w:numId w:val="3"/>
        </w:numPr>
        <w:spacing w:after="0"/>
      </w:pPr>
      <w:r>
        <w:t xml:space="preserve">       </w:t>
      </w:r>
      <w:r w:rsidR="005E1EF5">
        <w:t>Corporation tax is due 9 months and 1 day aft</w:t>
      </w:r>
      <w:r w:rsidR="00846ADF">
        <w:t>er each 12 month trading period, so consider</w:t>
      </w:r>
    </w:p>
    <w:p w:rsidR="003E32AC" w:rsidRDefault="00846ADF" w:rsidP="003E32AC">
      <w:pPr>
        <w:pStyle w:val="ListParagraph"/>
        <w:spacing w:after="0"/>
        <w:ind w:left="360" w:firstLine="360"/>
      </w:pPr>
      <w:r>
        <w:t>saving this money in a separate bank deposit account as profits are earned throughout the</w:t>
      </w:r>
    </w:p>
    <w:p w:rsidR="003E32AC" w:rsidRDefault="00846ADF" w:rsidP="003E32AC">
      <w:pPr>
        <w:pStyle w:val="ListParagraph"/>
        <w:spacing w:after="0"/>
        <w:ind w:left="360" w:firstLine="360"/>
      </w:pPr>
      <w:r>
        <w:t>year.</w:t>
      </w:r>
    </w:p>
    <w:p w:rsidR="00CA2979" w:rsidRDefault="003E32AC" w:rsidP="00CA2979">
      <w:pPr>
        <w:spacing w:after="0"/>
      </w:pPr>
      <w:r>
        <w:t>3.2</w:t>
      </w:r>
      <w:r>
        <w:tab/>
      </w:r>
      <w:r w:rsidR="00CA2979">
        <w:t>Choose year end carefully, so as to maximise time between earning profits and paying</w:t>
      </w:r>
    </w:p>
    <w:p w:rsidR="00CA2979" w:rsidRDefault="00CA2979" w:rsidP="00CA2979">
      <w:pPr>
        <w:spacing w:after="0"/>
        <w:ind w:firstLine="720"/>
      </w:pPr>
      <w:r>
        <w:t>tax.</w:t>
      </w:r>
    </w:p>
    <w:p w:rsidR="008939EE" w:rsidRDefault="00CA2979" w:rsidP="00CA2979">
      <w:pPr>
        <w:spacing w:after="0"/>
      </w:pPr>
      <w:r>
        <w:t>3.3</w:t>
      </w:r>
      <w:r>
        <w:tab/>
      </w:r>
      <w:r w:rsidR="008939EE">
        <w:t>If funding tax payment</w:t>
      </w:r>
      <w:r w:rsidR="00233B1C">
        <w:t>(s)</w:t>
      </w:r>
      <w:r w:rsidR="008939EE">
        <w:t xml:space="preserve"> is likely to be d</w:t>
      </w:r>
      <w:r w:rsidR="00233B1C">
        <w:t>elayed</w:t>
      </w:r>
      <w:r w:rsidR="008939EE">
        <w:t>, consider:</w:t>
      </w:r>
    </w:p>
    <w:p w:rsidR="008939EE" w:rsidRDefault="008939EE" w:rsidP="008939EE">
      <w:pPr>
        <w:pStyle w:val="ListParagraph"/>
        <w:numPr>
          <w:ilvl w:val="0"/>
          <w:numId w:val="10"/>
        </w:numPr>
        <w:spacing w:after="0"/>
      </w:pPr>
      <w:r>
        <w:t xml:space="preserve">Not submitting company tax return until just before </w:t>
      </w:r>
      <w:r w:rsidR="00862A51">
        <w:t xml:space="preserve">the </w:t>
      </w:r>
      <w:r>
        <w:t>12 month deadline, so that HMRC collection procedures do not know how much is due</w:t>
      </w:r>
      <w:r w:rsidR="00233B1C">
        <w:t xml:space="preserve"> </w:t>
      </w:r>
      <w:r w:rsidR="00862A51">
        <w:t xml:space="preserve">within the post tax due date 3 month </w:t>
      </w:r>
      <w:r w:rsidR="00BB0BAF">
        <w:t>‘</w:t>
      </w:r>
      <w:r w:rsidR="00862A51">
        <w:t>window</w:t>
      </w:r>
      <w:r w:rsidR="00BB0BAF">
        <w:t>’</w:t>
      </w:r>
      <w:r>
        <w:t>.</w:t>
      </w:r>
    </w:p>
    <w:p w:rsidR="00A13035" w:rsidRDefault="008939EE" w:rsidP="008939EE">
      <w:pPr>
        <w:pStyle w:val="ListParagraph"/>
        <w:numPr>
          <w:ilvl w:val="0"/>
          <w:numId w:val="10"/>
        </w:numPr>
        <w:spacing w:after="0"/>
      </w:pPr>
      <w:r>
        <w:t xml:space="preserve">Making a ‘time to pay’ </w:t>
      </w:r>
      <w:r w:rsidR="00B01601">
        <w:t xml:space="preserve">payment plan </w:t>
      </w:r>
      <w:r>
        <w:t>arrangement with HMRC</w:t>
      </w:r>
      <w:r w:rsidR="002218E6">
        <w:t>,</w:t>
      </w:r>
      <w:r>
        <w:t xml:space="preserve"> before </w:t>
      </w:r>
      <w:r w:rsidR="002218E6">
        <w:t xml:space="preserve">this </w:t>
      </w:r>
      <w:r>
        <w:t xml:space="preserve">tax is overdue.  </w:t>
      </w:r>
    </w:p>
    <w:p w:rsidR="00413480" w:rsidRDefault="00CA2979" w:rsidP="00CA2979">
      <w:pPr>
        <w:spacing w:after="0"/>
      </w:pPr>
      <w:r>
        <w:t>3.4</w:t>
      </w:r>
      <w:r w:rsidR="00413480">
        <w:t xml:space="preserve"> </w:t>
      </w:r>
      <w:r w:rsidR="00413480">
        <w:tab/>
      </w:r>
      <w:r w:rsidR="003E0FF9">
        <w:t>Where predicted VAT exclusive turnover for the next 12 months is &lt; £1.35m, and your trade</w:t>
      </w:r>
    </w:p>
    <w:p w:rsidR="00413480" w:rsidRDefault="003E0FF9" w:rsidP="00413480">
      <w:pPr>
        <w:pStyle w:val="ListParagraph"/>
        <w:spacing w:after="0"/>
        <w:ind w:left="360" w:firstLine="360"/>
      </w:pPr>
      <w:r>
        <w:t xml:space="preserve">debtors exceed trade creditors, consider deferring payment of VAT to HMRC by </w:t>
      </w:r>
      <w:r w:rsidR="008F58A3">
        <w:t>opting to</w:t>
      </w:r>
    </w:p>
    <w:p w:rsidR="003E0FF9" w:rsidRDefault="003E0FF9" w:rsidP="00413480">
      <w:pPr>
        <w:pStyle w:val="ListParagraph"/>
        <w:spacing w:after="0"/>
        <w:ind w:left="360" w:firstLine="360"/>
      </w:pPr>
      <w:r>
        <w:t>complet</w:t>
      </w:r>
      <w:r w:rsidR="008F58A3">
        <w:t>e</w:t>
      </w:r>
      <w:r>
        <w:t xml:space="preserve"> VAT Returns under the cash accounting scheme.</w:t>
      </w:r>
    </w:p>
    <w:p w:rsidR="00386949" w:rsidRDefault="00CA2979" w:rsidP="00386949">
      <w:pPr>
        <w:spacing w:after="0"/>
      </w:pPr>
      <w:r>
        <w:t>3.5</w:t>
      </w:r>
      <w:r w:rsidR="00386949">
        <w:tab/>
        <w:t>Consider giving HMRC a direct debit authority to collect VAT, to obtain an extra 3 bank</w:t>
      </w:r>
    </w:p>
    <w:p w:rsidR="00386949" w:rsidRDefault="00386949" w:rsidP="00386949">
      <w:pPr>
        <w:spacing w:after="0"/>
        <w:ind w:firstLine="720"/>
      </w:pPr>
      <w:r>
        <w:t xml:space="preserve"> working days credit.</w:t>
      </w:r>
    </w:p>
    <w:p w:rsidR="006F50F0" w:rsidRDefault="006F50F0" w:rsidP="006F50F0">
      <w:pPr>
        <w:spacing w:after="0"/>
      </w:pPr>
    </w:p>
    <w:p w:rsidR="006F50F0" w:rsidRPr="006F50F0" w:rsidRDefault="006F50F0" w:rsidP="006F50F0">
      <w:pPr>
        <w:spacing w:after="0"/>
        <w:rPr>
          <w:b/>
          <w:sz w:val="18"/>
          <w:szCs w:val="18"/>
        </w:rPr>
      </w:pPr>
      <w:r w:rsidRPr="006F50F0">
        <w:rPr>
          <w:b/>
          <w:sz w:val="18"/>
          <w:szCs w:val="18"/>
        </w:rPr>
        <w:t>Disclaimer</w:t>
      </w:r>
    </w:p>
    <w:p w:rsidR="00105955" w:rsidRPr="00105955" w:rsidRDefault="00105955" w:rsidP="00105955">
      <w:pPr>
        <w:spacing w:after="0" w:line="240" w:lineRule="auto"/>
        <w:rPr>
          <w:rFonts w:eastAsia="Times New Roman" w:cs="Tahoma"/>
          <w:sz w:val="18"/>
          <w:szCs w:val="18"/>
          <w:lang w:eastAsia="en-GB"/>
        </w:rPr>
      </w:pPr>
      <w:r w:rsidRPr="00105955">
        <w:rPr>
          <w:rFonts w:eastAsia="Times New Roman" w:cs="Tahoma"/>
          <w:sz w:val="18"/>
          <w:szCs w:val="18"/>
          <w:lang w:eastAsia="en-GB"/>
        </w:rPr>
        <w:t>The a</w:t>
      </w:r>
      <w:r w:rsidR="00605DE5">
        <w:rPr>
          <w:rFonts w:eastAsia="Times New Roman" w:cs="Tahoma"/>
          <w:sz w:val="18"/>
          <w:szCs w:val="18"/>
          <w:lang w:eastAsia="en-GB"/>
        </w:rPr>
        <w:t>bove tax strategy a</w:t>
      </w:r>
      <w:r w:rsidRPr="00105955">
        <w:rPr>
          <w:rFonts w:eastAsia="Times New Roman" w:cs="Tahoma"/>
          <w:sz w:val="18"/>
          <w:szCs w:val="18"/>
          <w:lang w:eastAsia="en-GB"/>
        </w:rPr>
        <w:t>dvice is purely generic in nature. It is not intended to be considered as advice in relation to your particular circumstances, and should not in any circumstances be relied upon nor should you take action based solely on the free advice we have provided. If you would like us to review your individual circumstances and provide you with our professional advice you should contact our office to arrange a full review with one of our staff.</w:t>
      </w:r>
    </w:p>
    <w:p w:rsidR="006F50F0" w:rsidRPr="006F50F0" w:rsidRDefault="006F50F0" w:rsidP="006F50F0">
      <w:pPr>
        <w:spacing w:after="0"/>
        <w:rPr>
          <w:sz w:val="18"/>
          <w:szCs w:val="18"/>
        </w:rPr>
      </w:pPr>
    </w:p>
    <w:p w:rsidR="00213380" w:rsidRPr="006F50F0" w:rsidRDefault="00213380" w:rsidP="00A13035">
      <w:pPr>
        <w:spacing w:after="0"/>
        <w:rPr>
          <w:sz w:val="18"/>
          <w:szCs w:val="18"/>
        </w:rPr>
      </w:pPr>
    </w:p>
    <w:sectPr w:rsidR="00213380" w:rsidRPr="006F50F0">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CD" w:rsidRDefault="00EC71CD" w:rsidP="009F62C6">
      <w:pPr>
        <w:spacing w:after="0" w:line="240" w:lineRule="auto"/>
      </w:pPr>
      <w:r>
        <w:separator/>
      </w:r>
    </w:p>
  </w:endnote>
  <w:endnote w:type="continuationSeparator" w:id="0">
    <w:p w:rsidR="00EC71CD" w:rsidRDefault="00EC71CD" w:rsidP="009F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C6" w:rsidRDefault="009F62C6" w:rsidP="009F62C6">
    <w:pPr>
      <w:pStyle w:val="Footer"/>
      <w:jc w:val="center"/>
    </w:pPr>
    <w:r>
      <w:rPr>
        <w:noProof/>
        <w:lang w:eastAsia="en-GB"/>
      </w:rPr>
      <mc:AlternateContent>
        <mc:Choice Requires="wps">
          <w:drawing>
            <wp:anchor distT="0" distB="0" distL="114300" distR="114300" simplePos="0" relativeHeight="251660288" behindDoc="0" locked="0" layoutInCell="1" allowOverlap="1" wp14:anchorId="310EA1A7" wp14:editId="195C52DF">
              <wp:simplePos x="0" y="0"/>
              <wp:positionH relativeFrom="column">
                <wp:posOffset>-72045</wp:posOffset>
              </wp:positionH>
              <wp:positionV relativeFrom="paragraph">
                <wp:posOffset>98829</wp:posOffset>
              </wp:positionV>
              <wp:extent cx="5896495" cy="16626"/>
              <wp:effectExtent l="0" t="0" r="28575" b="21590"/>
              <wp:wrapNone/>
              <wp:docPr id="4" name="Straight Connector 4"/>
              <wp:cNvGraphicFramePr/>
              <a:graphic xmlns:a="http://schemas.openxmlformats.org/drawingml/2006/main">
                <a:graphicData uri="http://schemas.microsoft.com/office/word/2010/wordprocessingShape">
                  <wps:wsp>
                    <wps:cNvCnPr/>
                    <wps:spPr>
                      <a:xfrm flipV="1">
                        <a:off x="0" y="0"/>
                        <a:ext cx="5896495" cy="16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5pt,7.8pt" to="458.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" strokecolor="#4579b8 [3044]"/>
          </w:pict>
        </mc:Fallback>
      </mc:AlternateContent>
    </w:r>
  </w:p>
  <w:p w:rsidR="0032639C" w:rsidRPr="0032639C" w:rsidRDefault="0032639C" w:rsidP="009F62C6">
    <w:pPr>
      <w:pStyle w:val="Footer"/>
      <w:jc w:val="center"/>
      <w:rPr>
        <w:sz w:val="10"/>
        <w:szCs w:val="10"/>
      </w:rPr>
    </w:pPr>
  </w:p>
  <w:p w:rsidR="009F62C6" w:rsidRDefault="00EC71CD" w:rsidP="009F62C6">
    <w:pPr>
      <w:pStyle w:val="Footer"/>
      <w:jc w:val="center"/>
    </w:pPr>
    <w:hyperlink r:id="rId1" w:history="1">
      <w:r w:rsidR="009F62C6" w:rsidRPr="00150DAD">
        <w:rPr>
          <w:rStyle w:val="Hyperlink"/>
        </w:rPr>
        <w:t>www.whitingandpartners.co.uk</w:t>
      </w:r>
    </w:hyperlink>
  </w:p>
  <w:p w:rsidR="009F62C6" w:rsidRDefault="009F62C6" w:rsidP="009F62C6">
    <w:pPr>
      <w:pStyle w:val="Footer"/>
      <w:jc w:val="center"/>
    </w:pPr>
  </w:p>
  <w:p w:rsidR="009F62C6" w:rsidRDefault="009F62C6" w:rsidP="009F62C6">
    <w:pPr>
      <w:pStyle w:val="Footer"/>
      <w:jc w:val="center"/>
    </w:pPr>
    <w:r>
      <w:t>Bury St. Edmunds | Ely | King’s Lynn | March | Mildenhall | Peterborough | Ramsey | Wisbech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CD" w:rsidRDefault="00EC71CD" w:rsidP="009F62C6">
      <w:pPr>
        <w:spacing w:after="0" w:line="240" w:lineRule="auto"/>
      </w:pPr>
      <w:r>
        <w:separator/>
      </w:r>
    </w:p>
  </w:footnote>
  <w:footnote w:type="continuationSeparator" w:id="0">
    <w:p w:rsidR="00EC71CD" w:rsidRDefault="00EC71CD" w:rsidP="009F6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C6" w:rsidRDefault="009F62C6" w:rsidP="009F62C6">
    <w:pPr>
      <w:pStyle w:val="Header"/>
      <w:tabs>
        <w:tab w:val="left" w:pos="5935"/>
      </w:tabs>
    </w:pPr>
    <w:r>
      <w:tab/>
    </w:r>
    <w:r>
      <w:tab/>
    </w:r>
    <w:r>
      <w:tab/>
    </w:r>
    <w:r>
      <w:rPr>
        <w:i/>
        <w:iCs/>
        <w:noProof/>
        <w:sz w:val="15"/>
        <w:szCs w:val="15"/>
        <w:lang w:eastAsia="en-GB"/>
      </w:rPr>
      <w:drawing>
        <wp:inline distT="0" distB="0" distL="0" distR="0" wp14:anchorId="6FA36CB1" wp14:editId="6B8DA428">
          <wp:extent cx="1596044" cy="797810"/>
          <wp:effectExtent l="0" t="0" r="4445" b="2540"/>
          <wp:docPr id="2" name="Picture 2" descr="http://intranet.whitingandpartners.co.uk/graphics/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whitingandpartners.co.uk/graphics/new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160" cy="797868"/>
                  </a:xfrm>
                  <a:prstGeom prst="rect">
                    <a:avLst/>
                  </a:prstGeom>
                  <a:noFill/>
                  <a:ln>
                    <a:noFill/>
                  </a:ln>
                </pic:spPr>
              </pic:pic>
            </a:graphicData>
          </a:graphic>
        </wp:inline>
      </w:drawing>
    </w:r>
  </w:p>
  <w:p w:rsidR="0032639C" w:rsidRPr="0032639C" w:rsidRDefault="0032639C" w:rsidP="009F62C6">
    <w:pPr>
      <w:pStyle w:val="Header"/>
      <w:tabs>
        <w:tab w:val="left" w:pos="5935"/>
      </w:tabs>
      <w:rPr>
        <w:sz w:val="10"/>
        <w:szCs w:val="10"/>
      </w:rPr>
    </w:pPr>
  </w:p>
  <w:p w:rsidR="009F62C6" w:rsidRDefault="009F62C6" w:rsidP="009F62C6">
    <w:pPr>
      <w:pStyle w:val="Header"/>
      <w:tabs>
        <w:tab w:val="left" w:pos="5935"/>
      </w:tabs>
    </w:pPr>
    <w:r>
      <w:rPr>
        <w:noProof/>
        <w:lang w:eastAsia="en-GB"/>
      </w:rPr>
      <mc:AlternateContent>
        <mc:Choice Requires="wps">
          <w:drawing>
            <wp:anchor distT="0" distB="0" distL="114300" distR="114300" simplePos="0" relativeHeight="251659264" behindDoc="0" locked="0" layoutInCell="1" allowOverlap="1" wp14:anchorId="33DF7510" wp14:editId="1E9ABB42">
              <wp:simplePos x="0" y="0"/>
              <wp:positionH relativeFrom="column">
                <wp:posOffset>11083</wp:posOffset>
              </wp:positionH>
              <wp:positionV relativeFrom="paragraph">
                <wp:posOffset>74815</wp:posOffset>
              </wp:positionV>
              <wp:extent cx="575794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57579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5.9pt" to="454.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E90"/>
    <w:multiLevelType w:val="hybridMultilevel"/>
    <w:tmpl w:val="0A106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F73455"/>
    <w:multiLevelType w:val="hybridMultilevel"/>
    <w:tmpl w:val="BF001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4949A8"/>
    <w:multiLevelType w:val="multilevel"/>
    <w:tmpl w:val="0BF4D4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BF04A52"/>
    <w:multiLevelType w:val="multilevel"/>
    <w:tmpl w:val="FDDC880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4E45A14"/>
    <w:multiLevelType w:val="hybridMultilevel"/>
    <w:tmpl w:val="DF848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71E3CB3"/>
    <w:multiLevelType w:val="hybridMultilevel"/>
    <w:tmpl w:val="161A4C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89154E5"/>
    <w:multiLevelType w:val="hybridMultilevel"/>
    <w:tmpl w:val="87C4F71E"/>
    <w:lvl w:ilvl="0" w:tplc="66AC56C0">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A2CF5"/>
    <w:multiLevelType w:val="multilevel"/>
    <w:tmpl w:val="7D268C8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48936201"/>
    <w:multiLevelType w:val="multilevel"/>
    <w:tmpl w:val="BBD0AA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CC970BD"/>
    <w:multiLevelType w:val="hybridMultilevel"/>
    <w:tmpl w:val="BF8E1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3AA76C6"/>
    <w:multiLevelType w:val="hybridMultilevel"/>
    <w:tmpl w:val="FA2E7B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4AE69E3"/>
    <w:multiLevelType w:val="hybridMultilevel"/>
    <w:tmpl w:val="EA36980C"/>
    <w:lvl w:ilvl="0" w:tplc="DABAA3A8">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6D176D"/>
    <w:multiLevelType w:val="multilevel"/>
    <w:tmpl w:val="BB6E14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B867219"/>
    <w:multiLevelType w:val="hybridMultilevel"/>
    <w:tmpl w:val="162ABDD6"/>
    <w:lvl w:ilvl="0" w:tplc="DD780638">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A05BF7"/>
    <w:multiLevelType w:val="hybridMultilevel"/>
    <w:tmpl w:val="CD0E2626"/>
    <w:lvl w:ilvl="0" w:tplc="4DA41116">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F20FAE"/>
    <w:multiLevelType w:val="hybridMultilevel"/>
    <w:tmpl w:val="7CF8D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2BB7643"/>
    <w:multiLevelType w:val="hybridMultilevel"/>
    <w:tmpl w:val="68562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81E0EED"/>
    <w:multiLevelType w:val="multilevel"/>
    <w:tmpl w:val="BBD0AA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7"/>
  </w:num>
  <w:num w:numId="3">
    <w:abstractNumId w:val="8"/>
  </w:num>
  <w:num w:numId="4">
    <w:abstractNumId w:val="4"/>
  </w:num>
  <w:num w:numId="5">
    <w:abstractNumId w:val="9"/>
  </w:num>
  <w:num w:numId="6">
    <w:abstractNumId w:val="1"/>
  </w:num>
  <w:num w:numId="7">
    <w:abstractNumId w:val="10"/>
  </w:num>
  <w:num w:numId="8">
    <w:abstractNumId w:val="16"/>
  </w:num>
  <w:num w:numId="9">
    <w:abstractNumId w:val="5"/>
  </w:num>
  <w:num w:numId="10">
    <w:abstractNumId w:val="15"/>
  </w:num>
  <w:num w:numId="11">
    <w:abstractNumId w:val="0"/>
  </w:num>
  <w:num w:numId="12">
    <w:abstractNumId w:val="2"/>
  </w:num>
  <w:num w:numId="13">
    <w:abstractNumId w:val="12"/>
  </w:num>
  <w:num w:numId="14">
    <w:abstractNumId w:val="3"/>
  </w:num>
  <w:num w:numId="15">
    <w:abstractNumId w:val="11"/>
  </w:num>
  <w:num w:numId="16">
    <w:abstractNumId w:val="13"/>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75"/>
    <w:rsid w:val="00033DB1"/>
    <w:rsid w:val="00061B03"/>
    <w:rsid w:val="00097292"/>
    <w:rsid w:val="000C3490"/>
    <w:rsid w:val="000C5549"/>
    <w:rsid w:val="000D3677"/>
    <w:rsid w:val="000E051C"/>
    <w:rsid w:val="00101E1E"/>
    <w:rsid w:val="0010586F"/>
    <w:rsid w:val="00105955"/>
    <w:rsid w:val="00110AE6"/>
    <w:rsid w:val="00115B80"/>
    <w:rsid w:val="00136C39"/>
    <w:rsid w:val="001627B4"/>
    <w:rsid w:val="00183ECA"/>
    <w:rsid w:val="001875AB"/>
    <w:rsid w:val="001C3AED"/>
    <w:rsid w:val="001E13DD"/>
    <w:rsid w:val="0020591D"/>
    <w:rsid w:val="00213380"/>
    <w:rsid w:val="002218E6"/>
    <w:rsid w:val="00232FB7"/>
    <w:rsid w:val="00233B1C"/>
    <w:rsid w:val="00243F7E"/>
    <w:rsid w:val="002836E6"/>
    <w:rsid w:val="0028373F"/>
    <w:rsid w:val="002A5D29"/>
    <w:rsid w:val="002B5FA1"/>
    <w:rsid w:val="002C0BB7"/>
    <w:rsid w:val="002C18D9"/>
    <w:rsid w:val="002D194B"/>
    <w:rsid w:val="002E4DAF"/>
    <w:rsid w:val="0032277B"/>
    <w:rsid w:val="0032639C"/>
    <w:rsid w:val="00334D6E"/>
    <w:rsid w:val="00347072"/>
    <w:rsid w:val="00381564"/>
    <w:rsid w:val="00381E24"/>
    <w:rsid w:val="00386949"/>
    <w:rsid w:val="00396C22"/>
    <w:rsid w:val="0039785C"/>
    <w:rsid w:val="003B23F4"/>
    <w:rsid w:val="003B4C65"/>
    <w:rsid w:val="003B7C4A"/>
    <w:rsid w:val="003E0FF9"/>
    <w:rsid w:val="003E32AC"/>
    <w:rsid w:val="003F556D"/>
    <w:rsid w:val="003F651B"/>
    <w:rsid w:val="00406419"/>
    <w:rsid w:val="00410055"/>
    <w:rsid w:val="00413480"/>
    <w:rsid w:val="004208A1"/>
    <w:rsid w:val="00446556"/>
    <w:rsid w:val="004A67F9"/>
    <w:rsid w:val="004D4931"/>
    <w:rsid w:val="004F1C61"/>
    <w:rsid w:val="004F3D0F"/>
    <w:rsid w:val="00502B91"/>
    <w:rsid w:val="005141AA"/>
    <w:rsid w:val="00515914"/>
    <w:rsid w:val="00546EE9"/>
    <w:rsid w:val="00592219"/>
    <w:rsid w:val="005A1D77"/>
    <w:rsid w:val="005A2C5D"/>
    <w:rsid w:val="005C1EE7"/>
    <w:rsid w:val="005C3F31"/>
    <w:rsid w:val="005E1EF5"/>
    <w:rsid w:val="005E685C"/>
    <w:rsid w:val="005E7A5D"/>
    <w:rsid w:val="005F5578"/>
    <w:rsid w:val="00605DE5"/>
    <w:rsid w:val="00606A0B"/>
    <w:rsid w:val="006107DD"/>
    <w:rsid w:val="0062672F"/>
    <w:rsid w:val="00652892"/>
    <w:rsid w:val="00676A2E"/>
    <w:rsid w:val="00681DF9"/>
    <w:rsid w:val="006857B9"/>
    <w:rsid w:val="0068761C"/>
    <w:rsid w:val="00687AE7"/>
    <w:rsid w:val="006A5B1E"/>
    <w:rsid w:val="006B7F5C"/>
    <w:rsid w:val="006C4A66"/>
    <w:rsid w:val="006F50F0"/>
    <w:rsid w:val="00736935"/>
    <w:rsid w:val="007603EB"/>
    <w:rsid w:val="00774218"/>
    <w:rsid w:val="0079094F"/>
    <w:rsid w:val="007D005C"/>
    <w:rsid w:val="008229D6"/>
    <w:rsid w:val="00835224"/>
    <w:rsid w:val="008361D1"/>
    <w:rsid w:val="008455B9"/>
    <w:rsid w:val="00846ADF"/>
    <w:rsid w:val="00862A51"/>
    <w:rsid w:val="00871519"/>
    <w:rsid w:val="00872E1F"/>
    <w:rsid w:val="00890359"/>
    <w:rsid w:val="008939EE"/>
    <w:rsid w:val="008B16E6"/>
    <w:rsid w:val="008B34C8"/>
    <w:rsid w:val="008B4EDD"/>
    <w:rsid w:val="008D354A"/>
    <w:rsid w:val="008E02E3"/>
    <w:rsid w:val="008F45B9"/>
    <w:rsid w:val="008F58A3"/>
    <w:rsid w:val="009130B0"/>
    <w:rsid w:val="00951B81"/>
    <w:rsid w:val="00957475"/>
    <w:rsid w:val="009712A6"/>
    <w:rsid w:val="00973FFC"/>
    <w:rsid w:val="009A432A"/>
    <w:rsid w:val="009F62C6"/>
    <w:rsid w:val="009F62F4"/>
    <w:rsid w:val="00A04BB8"/>
    <w:rsid w:val="00A13035"/>
    <w:rsid w:val="00A1426A"/>
    <w:rsid w:val="00A23775"/>
    <w:rsid w:val="00A4136D"/>
    <w:rsid w:val="00A43851"/>
    <w:rsid w:val="00A44C64"/>
    <w:rsid w:val="00A54496"/>
    <w:rsid w:val="00A64930"/>
    <w:rsid w:val="00AB61DD"/>
    <w:rsid w:val="00AD3CD9"/>
    <w:rsid w:val="00AD7750"/>
    <w:rsid w:val="00AF1D39"/>
    <w:rsid w:val="00B01601"/>
    <w:rsid w:val="00B21633"/>
    <w:rsid w:val="00B24D9D"/>
    <w:rsid w:val="00B7050E"/>
    <w:rsid w:val="00BB0BAF"/>
    <w:rsid w:val="00BD7E0D"/>
    <w:rsid w:val="00C062EA"/>
    <w:rsid w:val="00C23AFF"/>
    <w:rsid w:val="00C3059E"/>
    <w:rsid w:val="00C3117C"/>
    <w:rsid w:val="00C40987"/>
    <w:rsid w:val="00C6064D"/>
    <w:rsid w:val="00C85B91"/>
    <w:rsid w:val="00CA2979"/>
    <w:rsid w:val="00CB2835"/>
    <w:rsid w:val="00CE144E"/>
    <w:rsid w:val="00CE6804"/>
    <w:rsid w:val="00CF11F8"/>
    <w:rsid w:val="00D271D1"/>
    <w:rsid w:val="00D347F7"/>
    <w:rsid w:val="00D47A45"/>
    <w:rsid w:val="00D72654"/>
    <w:rsid w:val="00DA0B87"/>
    <w:rsid w:val="00DA200C"/>
    <w:rsid w:val="00DC3B64"/>
    <w:rsid w:val="00DC67C1"/>
    <w:rsid w:val="00DD4160"/>
    <w:rsid w:val="00DD7CB4"/>
    <w:rsid w:val="00E15252"/>
    <w:rsid w:val="00E354A8"/>
    <w:rsid w:val="00E424A0"/>
    <w:rsid w:val="00E603BF"/>
    <w:rsid w:val="00E615BD"/>
    <w:rsid w:val="00E85EBF"/>
    <w:rsid w:val="00E87117"/>
    <w:rsid w:val="00E94E49"/>
    <w:rsid w:val="00EC4A4B"/>
    <w:rsid w:val="00EC5C26"/>
    <w:rsid w:val="00EC71CD"/>
    <w:rsid w:val="00EF1D15"/>
    <w:rsid w:val="00F131B4"/>
    <w:rsid w:val="00F77B9B"/>
    <w:rsid w:val="00F829F5"/>
    <w:rsid w:val="00F87B5A"/>
    <w:rsid w:val="00F91B3F"/>
    <w:rsid w:val="00F94330"/>
    <w:rsid w:val="00FA3B10"/>
    <w:rsid w:val="00FA7D0C"/>
    <w:rsid w:val="00FF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EBF"/>
    <w:rPr>
      <w:rFonts w:ascii="Tahoma" w:hAnsi="Tahoma" w:cs="Tahoma"/>
      <w:sz w:val="16"/>
      <w:szCs w:val="16"/>
    </w:rPr>
  </w:style>
  <w:style w:type="paragraph" w:styleId="Header">
    <w:name w:val="header"/>
    <w:basedOn w:val="Normal"/>
    <w:link w:val="HeaderChar"/>
    <w:uiPriority w:val="99"/>
    <w:unhideWhenUsed/>
    <w:rsid w:val="009F6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2C6"/>
  </w:style>
  <w:style w:type="paragraph" w:styleId="Footer">
    <w:name w:val="footer"/>
    <w:basedOn w:val="Normal"/>
    <w:link w:val="FooterChar"/>
    <w:uiPriority w:val="99"/>
    <w:unhideWhenUsed/>
    <w:rsid w:val="009F6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2C6"/>
  </w:style>
  <w:style w:type="character" w:styleId="Hyperlink">
    <w:name w:val="Hyperlink"/>
    <w:basedOn w:val="DefaultParagraphFont"/>
    <w:uiPriority w:val="99"/>
    <w:unhideWhenUsed/>
    <w:rsid w:val="009F62C6"/>
    <w:rPr>
      <w:color w:val="0000FF" w:themeColor="hyperlink"/>
      <w:u w:val="single"/>
    </w:rPr>
  </w:style>
  <w:style w:type="paragraph" w:styleId="ListParagraph">
    <w:name w:val="List Paragraph"/>
    <w:basedOn w:val="Normal"/>
    <w:uiPriority w:val="34"/>
    <w:qFormat/>
    <w:rsid w:val="00A13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EBF"/>
    <w:rPr>
      <w:rFonts w:ascii="Tahoma" w:hAnsi="Tahoma" w:cs="Tahoma"/>
      <w:sz w:val="16"/>
      <w:szCs w:val="16"/>
    </w:rPr>
  </w:style>
  <w:style w:type="paragraph" w:styleId="Header">
    <w:name w:val="header"/>
    <w:basedOn w:val="Normal"/>
    <w:link w:val="HeaderChar"/>
    <w:uiPriority w:val="99"/>
    <w:unhideWhenUsed/>
    <w:rsid w:val="009F6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2C6"/>
  </w:style>
  <w:style w:type="paragraph" w:styleId="Footer">
    <w:name w:val="footer"/>
    <w:basedOn w:val="Normal"/>
    <w:link w:val="FooterChar"/>
    <w:uiPriority w:val="99"/>
    <w:unhideWhenUsed/>
    <w:rsid w:val="009F6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2C6"/>
  </w:style>
  <w:style w:type="character" w:styleId="Hyperlink">
    <w:name w:val="Hyperlink"/>
    <w:basedOn w:val="DefaultParagraphFont"/>
    <w:uiPriority w:val="99"/>
    <w:unhideWhenUsed/>
    <w:rsid w:val="009F62C6"/>
    <w:rPr>
      <w:color w:val="0000FF" w:themeColor="hyperlink"/>
      <w:u w:val="single"/>
    </w:rPr>
  </w:style>
  <w:style w:type="paragraph" w:styleId="ListParagraph">
    <w:name w:val="List Paragraph"/>
    <w:basedOn w:val="Normal"/>
    <w:uiPriority w:val="34"/>
    <w:qFormat/>
    <w:rsid w:val="00A1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ingandpartners.co.uk/OMB%20Strategies%202013-14%20Epsilon.pdf" TargetMode="External"/><Relationship Id="rId18" Type="http://schemas.openxmlformats.org/officeDocument/2006/relationships/hyperlink" Target="http://www.whitingandpartners.co.uk/OMB%20Strategies%202013-14%20Kappa.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mrc.gov.uk/manuals/eimanual/EIM32815.htm" TargetMode="External"/><Relationship Id="rId7" Type="http://schemas.openxmlformats.org/officeDocument/2006/relationships/footnotes" Target="footnotes.xml"/><Relationship Id="rId12" Type="http://schemas.openxmlformats.org/officeDocument/2006/relationships/hyperlink" Target="http://www.whitingandpartners.co.uk/OMB%20Strategies%202013-14%20Delta.pdf" TargetMode="External"/><Relationship Id="rId17" Type="http://schemas.openxmlformats.org/officeDocument/2006/relationships/hyperlink" Target="http://www.whitingandpartners.co.uk/OMB%20Strategies%202013-14%20Iota.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itingandpartners.co.uk/OMB%20Strategies%202013-14%20Theta.pdf" TargetMode="External"/><Relationship Id="rId20" Type="http://schemas.openxmlformats.org/officeDocument/2006/relationships/hyperlink" Target="http://www.whitingandpartners.co.uk/OMB%20Strategies%202013-14%20Mu.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ingandpartners.co.uk/OMB%20Strategies%202013-14%20Gamma.pdf" TargetMode="External"/><Relationship Id="rId24" Type="http://schemas.openxmlformats.org/officeDocument/2006/relationships/hyperlink" Target="http://www.hmrc.gov.uk/paye/exb/a-z/i/incidentals.htm" TargetMode="External"/><Relationship Id="rId5" Type="http://schemas.openxmlformats.org/officeDocument/2006/relationships/settings" Target="settings.xml"/><Relationship Id="rId15" Type="http://schemas.openxmlformats.org/officeDocument/2006/relationships/hyperlink" Target="http://www.whitingandpartners.co.uk/OMB%20Strategies%202013-14%20Eta.pdf" TargetMode="External"/><Relationship Id="rId23" Type="http://schemas.openxmlformats.org/officeDocument/2006/relationships/hyperlink" Target="http://www.hmrc.gov.uk/employers/wwsr-bench-2012.pdf" TargetMode="External"/><Relationship Id="rId28" Type="http://schemas.openxmlformats.org/officeDocument/2006/relationships/theme" Target="theme/theme1.xml"/><Relationship Id="rId10" Type="http://schemas.openxmlformats.org/officeDocument/2006/relationships/hyperlink" Target="http://www.whitingandpartners.co.uk/OMB%20Strategies%202013-14%20Beta.pdf" TargetMode="External"/><Relationship Id="rId19" Type="http://schemas.openxmlformats.org/officeDocument/2006/relationships/hyperlink" Target="http://www.whitingandpartners.co.uk/OMB%20Strategies%202013-14%20Lambda.pdf" TargetMode="External"/><Relationship Id="rId4" Type="http://schemas.microsoft.com/office/2007/relationships/stylesWithEffects" Target="stylesWithEffects.xml"/><Relationship Id="rId9" Type="http://schemas.openxmlformats.org/officeDocument/2006/relationships/hyperlink" Target="http://www.whitingandpartners.co.uk/OMB%20Strategies%202013-14%20Alpha.pdf" TargetMode="External"/><Relationship Id="rId14" Type="http://schemas.openxmlformats.org/officeDocument/2006/relationships/hyperlink" Target="http://www.whitingandpartners.co.uk/OMB%20Strategies%202013-14%20Zeta.pdf" TargetMode="External"/><Relationship Id="rId22" Type="http://schemas.openxmlformats.org/officeDocument/2006/relationships/hyperlink" Target="http://www.hmrc.gov.uk/manuals/bimmanual/BIM47800.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hitingandpartne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EF8B-D1AC-44E4-B2FD-DD659016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Piper</dc:creator>
  <cp:lastModifiedBy>Ian Piper</cp:lastModifiedBy>
  <cp:revision>192</cp:revision>
  <cp:lastPrinted>2013-04-03T09:44:00Z</cp:lastPrinted>
  <dcterms:created xsi:type="dcterms:W3CDTF">2013-04-02T15:03:00Z</dcterms:created>
  <dcterms:modified xsi:type="dcterms:W3CDTF">2013-04-13T09:54:00Z</dcterms:modified>
</cp:coreProperties>
</file>